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645" w:rsidRDefault="006A5645" w:rsidP="00004C66">
      <w:pPr>
        <w:pStyle w:val="Heading1"/>
        <w:jc w:val="right"/>
        <w:rPr>
          <w:rFonts w:ascii="Arial" w:hAnsi="Arial" w:cs="Arial"/>
          <w:sz w:val="24"/>
        </w:rPr>
      </w:pPr>
      <w:r>
        <w:rPr>
          <w:rFonts w:ascii="Arial" w:hAnsi="Arial" w:cs="Arial"/>
          <w:sz w:val="24"/>
        </w:rPr>
        <w:t>Ref: GJF/2017/06/13</w:t>
      </w:r>
    </w:p>
    <w:p w:rsidR="006A5645" w:rsidRDefault="006A5645" w:rsidP="00CD66A5">
      <w:pPr>
        <w:pStyle w:val="Heading1"/>
        <w:ind w:right="183"/>
        <w:rPr>
          <w:sz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GJF Logo" style="position:absolute;margin-left:351pt;margin-top:4.2pt;width:100.3pt;height:100.3pt;z-index:251658240;visibility:visible">
            <v:imagedata r:id="rId7" o:title=""/>
            <w10:wrap type="square"/>
          </v:shape>
        </w:pict>
      </w:r>
    </w:p>
    <w:p w:rsidR="006A5645" w:rsidRPr="00E22A20" w:rsidRDefault="006A5645" w:rsidP="00CD66A5">
      <w:pPr>
        <w:pStyle w:val="Heading1"/>
        <w:ind w:right="183"/>
        <w:rPr>
          <w:rFonts w:ascii="Arial" w:hAnsi="Arial" w:cs="Arial"/>
          <w:b w:val="0"/>
          <w:sz w:val="24"/>
        </w:rPr>
      </w:pPr>
      <w:r>
        <w:rPr>
          <w:rFonts w:ascii="Arial" w:hAnsi="Arial" w:cs="Arial"/>
          <w:sz w:val="24"/>
        </w:rPr>
        <w:t>Board Meeting:</w:t>
      </w:r>
      <w:r w:rsidRPr="00E22A20">
        <w:rPr>
          <w:rFonts w:ascii="Arial" w:hAnsi="Arial" w:cs="Arial"/>
          <w:sz w:val="24"/>
        </w:rPr>
        <w:tab/>
      </w:r>
      <w:r w:rsidRPr="00E22A20">
        <w:rPr>
          <w:rFonts w:ascii="Arial" w:hAnsi="Arial" w:cs="Arial"/>
          <w:sz w:val="24"/>
        </w:rPr>
        <w:tab/>
      </w:r>
      <w:r>
        <w:rPr>
          <w:rFonts w:ascii="Arial" w:hAnsi="Arial" w:cs="Arial"/>
          <w:b w:val="0"/>
          <w:sz w:val="24"/>
        </w:rPr>
        <w:t>15 June 2017</w:t>
      </w:r>
      <w:r w:rsidRPr="00E22A20">
        <w:rPr>
          <w:rFonts w:ascii="Arial" w:hAnsi="Arial" w:cs="Arial"/>
          <w:b w:val="0"/>
          <w:sz w:val="24"/>
        </w:rPr>
        <w:tab/>
      </w:r>
      <w:r w:rsidRPr="00E22A20">
        <w:rPr>
          <w:rFonts w:ascii="Arial" w:hAnsi="Arial" w:cs="Arial"/>
          <w:b w:val="0"/>
          <w:sz w:val="24"/>
        </w:rPr>
        <w:tab/>
      </w:r>
    </w:p>
    <w:p w:rsidR="006A5645" w:rsidRPr="00682309" w:rsidRDefault="006A5645" w:rsidP="00E23DCE">
      <w:pPr>
        <w:ind w:right="183"/>
        <w:rPr>
          <w:rFonts w:ascii="Arial" w:hAnsi="Arial" w:cs="Arial"/>
        </w:rPr>
      </w:pPr>
    </w:p>
    <w:p w:rsidR="006A5645" w:rsidRPr="00682309" w:rsidRDefault="006A5645" w:rsidP="00E23DCE">
      <w:pPr>
        <w:ind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Pr>
          <w:rFonts w:ascii="Arial" w:hAnsi="Arial" w:cs="Arial"/>
          <w:b/>
          <w:bCs/>
        </w:rPr>
        <w:tab/>
      </w:r>
      <w:r w:rsidRPr="00004C66">
        <w:rPr>
          <w:rFonts w:ascii="Arial" w:hAnsi="Arial" w:cs="Arial"/>
          <w:bCs/>
        </w:rPr>
        <w:t xml:space="preserve">Draft </w:t>
      </w:r>
      <w:r>
        <w:rPr>
          <w:rFonts w:ascii="Arial" w:hAnsi="Arial" w:cs="Arial"/>
        </w:rPr>
        <w:t>Annual</w:t>
      </w:r>
      <w:r w:rsidRPr="00F47497">
        <w:rPr>
          <w:rFonts w:ascii="Arial" w:hAnsi="Arial" w:cs="Arial"/>
        </w:rPr>
        <w:t xml:space="preserve"> Report and Accounts</w:t>
      </w:r>
    </w:p>
    <w:p w:rsidR="006A5645" w:rsidRPr="00682309" w:rsidRDefault="006A5645" w:rsidP="00E23DCE">
      <w:pPr>
        <w:ind w:right="183"/>
        <w:rPr>
          <w:rFonts w:ascii="Arial" w:hAnsi="Arial" w:cs="Arial"/>
          <w:b/>
          <w:bCs/>
        </w:rPr>
      </w:pPr>
      <w:r w:rsidRPr="00682309">
        <w:rPr>
          <w:rFonts w:ascii="Arial" w:hAnsi="Arial" w:cs="Arial"/>
          <w:b/>
          <w:bCs/>
        </w:rPr>
        <w:tab/>
      </w:r>
    </w:p>
    <w:p w:rsidR="006A5645" w:rsidRPr="009A5ED2" w:rsidRDefault="006A5645" w:rsidP="00E23DCE">
      <w:pPr>
        <w:ind w:left="2880" w:right="183" w:hanging="2880"/>
        <w:rPr>
          <w:rFonts w:ascii="Arial" w:hAnsi="Arial" w:cs="Arial"/>
        </w:rPr>
      </w:pPr>
      <w:r w:rsidRPr="00682309">
        <w:rPr>
          <w:rFonts w:ascii="Arial" w:hAnsi="Arial" w:cs="Arial"/>
          <w:b/>
          <w:bCs/>
        </w:rPr>
        <w:t>Recommendation:</w:t>
      </w:r>
      <w:r w:rsidRPr="00682309">
        <w:rPr>
          <w:rFonts w:ascii="Arial" w:hAnsi="Arial" w:cs="Arial"/>
          <w:b/>
          <w:bCs/>
        </w:rPr>
        <w:tab/>
      </w:r>
      <w:r w:rsidRPr="00F47497">
        <w:rPr>
          <w:rFonts w:ascii="Arial" w:hAnsi="Arial" w:cs="Arial"/>
        </w:rPr>
        <w:t xml:space="preserve">Members are asked to approve the </w:t>
      </w:r>
      <w:r>
        <w:rPr>
          <w:rFonts w:ascii="Arial" w:hAnsi="Arial" w:cs="Arial"/>
        </w:rPr>
        <w:t xml:space="preserve">Annual Report </w:t>
      </w:r>
      <w:r w:rsidRPr="00F47497">
        <w:rPr>
          <w:rFonts w:ascii="Arial" w:hAnsi="Arial" w:cs="Arial"/>
        </w:rPr>
        <w:t>and Accounts.</w:t>
      </w:r>
    </w:p>
    <w:p w:rsidR="006A5645" w:rsidRPr="00682309" w:rsidRDefault="006A5645" w:rsidP="00E23DCE">
      <w:pPr>
        <w:ind w:right="183"/>
        <w:rPr>
          <w:rFonts w:ascii="Arial" w:hAnsi="Arial" w:cs="Arial"/>
        </w:rPr>
      </w:pPr>
    </w:p>
    <w:p w:rsidR="006A5645" w:rsidRPr="00682309" w:rsidRDefault="006A5645" w:rsidP="00E23DCE">
      <w:pPr>
        <w:ind w:right="-483"/>
        <w:rPr>
          <w:rFonts w:ascii="Arial" w:hAnsi="Arial" w:cs="Arial"/>
          <w:b/>
          <w:bCs/>
        </w:rPr>
      </w:pPr>
      <w:r>
        <w:rPr>
          <w:rFonts w:ascii="Arial" w:hAnsi="Arial" w:cs="Arial"/>
          <w:b/>
          <w:bCs/>
        </w:rPr>
        <w:t>_________________________________________________________________</w:t>
      </w:r>
    </w:p>
    <w:p w:rsidR="006A5645" w:rsidRPr="007D4B71" w:rsidRDefault="006A5645" w:rsidP="00C46767">
      <w:pPr>
        <w:pStyle w:val="BodyTextIndent2"/>
        <w:ind w:left="0"/>
        <w:jc w:val="left"/>
        <w:rPr>
          <w:rFonts w:ascii="Arial" w:hAnsi="Arial" w:cs="Arial"/>
          <w:sz w:val="16"/>
          <w:szCs w:val="16"/>
        </w:rPr>
      </w:pPr>
    </w:p>
    <w:p w:rsidR="006A5645" w:rsidRPr="00F47497" w:rsidRDefault="006A5645" w:rsidP="00C46767">
      <w:pPr>
        <w:pStyle w:val="Heading4"/>
        <w:rPr>
          <w:rFonts w:ascii="Arial" w:hAnsi="Arial" w:cs="Arial"/>
        </w:rPr>
      </w:pPr>
      <w:r w:rsidRPr="00F47497">
        <w:rPr>
          <w:rFonts w:ascii="Arial" w:hAnsi="Arial" w:cs="Arial"/>
        </w:rPr>
        <w:t>Introduction</w:t>
      </w:r>
    </w:p>
    <w:p w:rsidR="006A5645" w:rsidRPr="00F47497" w:rsidRDefault="006A5645" w:rsidP="00C46767">
      <w:pPr>
        <w:pStyle w:val="BodyTextIndent2"/>
        <w:ind w:left="0"/>
        <w:jc w:val="left"/>
        <w:rPr>
          <w:rFonts w:ascii="Arial" w:hAnsi="Arial" w:cs="Arial"/>
        </w:rPr>
      </w:pPr>
    </w:p>
    <w:p w:rsidR="006A5645" w:rsidRDefault="006A5645" w:rsidP="00C46767">
      <w:pPr>
        <w:pStyle w:val="BodyTextIndent2"/>
        <w:jc w:val="left"/>
        <w:rPr>
          <w:rFonts w:ascii="Arial" w:hAnsi="Arial" w:cs="Arial"/>
        </w:rPr>
      </w:pPr>
      <w:r w:rsidRPr="00F47497">
        <w:rPr>
          <w:rFonts w:ascii="Arial" w:hAnsi="Arial" w:cs="Arial"/>
        </w:rPr>
        <w:t xml:space="preserve">The attached draft </w:t>
      </w:r>
      <w:r>
        <w:rPr>
          <w:rFonts w:ascii="Arial" w:hAnsi="Arial" w:cs="Arial"/>
        </w:rPr>
        <w:t>Annual</w:t>
      </w:r>
      <w:r w:rsidRPr="00F47497">
        <w:rPr>
          <w:rFonts w:ascii="Arial" w:hAnsi="Arial" w:cs="Arial"/>
        </w:rPr>
        <w:t xml:space="preserve"> Report and Accounts have been prepared in accordance with guidance issued from the Scottish Government Health and Social Care Directorate (SGHSCD), International Financial Reporting Standards</w:t>
      </w:r>
      <w:r>
        <w:rPr>
          <w:rFonts w:ascii="Arial" w:hAnsi="Arial" w:cs="Arial"/>
        </w:rPr>
        <w:t>, the Financial Reporting Manual (FReM)</w:t>
      </w:r>
      <w:r w:rsidRPr="00F47497">
        <w:rPr>
          <w:rFonts w:ascii="Arial" w:hAnsi="Arial" w:cs="Arial"/>
        </w:rPr>
        <w:t xml:space="preserve"> and have been subject </w:t>
      </w:r>
      <w:r>
        <w:rPr>
          <w:rFonts w:ascii="Arial" w:hAnsi="Arial" w:cs="Arial"/>
        </w:rPr>
        <w:t>to audit by Scott-Moncrieff. The amendments to the accounts are included at section 3. The attached may be subject to minor changes prior to submission to the Board.</w:t>
      </w:r>
    </w:p>
    <w:p w:rsidR="006A5645" w:rsidRPr="007D4B71" w:rsidRDefault="006A5645" w:rsidP="00C46767">
      <w:pPr>
        <w:pStyle w:val="BodyTextIndent2"/>
        <w:jc w:val="left"/>
        <w:rPr>
          <w:rFonts w:ascii="Arial" w:hAnsi="Arial" w:cs="Arial"/>
          <w:sz w:val="16"/>
          <w:szCs w:val="16"/>
        </w:rPr>
      </w:pPr>
    </w:p>
    <w:p w:rsidR="006A5645" w:rsidRPr="00F47497" w:rsidRDefault="006A5645" w:rsidP="00ED44E7">
      <w:pPr>
        <w:pStyle w:val="BodyTextIndent2"/>
        <w:jc w:val="left"/>
        <w:rPr>
          <w:rFonts w:ascii="Arial" w:hAnsi="Arial" w:cs="Arial"/>
        </w:rPr>
      </w:pPr>
      <w:r w:rsidRPr="00F47497">
        <w:rPr>
          <w:rFonts w:ascii="Arial" w:hAnsi="Arial" w:cs="Arial"/>
        </w:rPr>
        <w:t xml:space="preserve">The Governance Statement and Accounting Policies were approved at previous committee meetings prior to their inclusion in the accounts. </w:t>
      </w:r>
      <w:r>
        <w:rPr>
          <w:rFonts w:ascii="Arial" w:hAnsi="Arial" w:cs="Arial"/>
        </w:rPr>
        <w:t>It should be noted that minor wording changes have been made to both documents since approval; there is no impact on the accounts.</w:t>
      </w:r>
    </w:p>
    <w:p w:rsidR="006A5645" w:rsidRDefault="006A5645" w:rsidP="00C46767">
      <w:pPr>
        <w:pStyle w:val="BodyTextIndent2"/>
        <w:jc w:val="left"/>
        <w:rPr>
          <w:rFonts w:ascii="Arial" w:hAnsi="Arial" w:cs="Arial"/>
        </w:rPr>
      </w:pPr>
    </w:p>
    <w:p w:rsidR="006A5645" w:rsidRPr="00F47497" w:rsidRDefault="006A5645" w:rsidP="00C46767">
      <w:pPr>
        <w:pStyle w:val="BodyTextIndent2"/>
        <w:jc w:val="left"/>
        <w:rPr>
          <w:rFonts w:ascii="Arial" w:hAnsi="Arial" w:cs="Arial"/>
        </w:rPr>
      </w:pPr>
      <w:r>
        <w:rPr>
          <w:rFonts w:ascii="Arial" w:hAnsi="Arial" w:cs="Arial"/>
        </w:rPr>
        <w:t>The accounts were approved by the Audit and Risk Committee on 6 June 2017 and at the Senior Management Team on 8 June 2017.</w:t>
      </w:r>
    </w:p>
    <w:p w:rsidR="006A5645" w:rsidRPr="007D4B71" w:rsidRDefault="006A5645" w:rsidP="00C46767">
      <w:pPr>
        <w:pStyle w:val="BodyTextIndent2"/>
        <w:ind w:left="0"/>
        <w:jc w:val="left"/>
        <w:rPr>
          <w:rFonts w:ascii="Arial" w:hAnsi="Arial" w:cs="Arial"/>
          <w:sz w:val="16"/>
          <w:szCs w:val="16"/>
        </w:rPr>
      </w:pPr>
    </w:p>
    <w:p w:rsidR="006A5645" w:rsidRPr="00F47497" w:rsidRDefault="006A5645" w:rsidP="00C46767">
      <w:pPr>
        <w:pStyle w:val="Heading4"/>
        <w:rPr>
          <w:rFonts w:ascii="Arial" w:hAnsi="Arial" w:cs="Arial"/>
        </w:rPr>
      </w:pPr>
      <w:r>
        <w:rPr>
          <w:rFonts w:ascii="Arial" w:hAnsi="Arial" w:cs="Arial"/>
        </w:rPr>
        <w:t>Year</w:t>
      </w:r>
      <w:r w:rsidRPr="00F47497">
        <w:rPr>
          <w:rFonts w:ascii="Arial" w:hAnsi="Arial" w:cs="Arial"/>
        </w:rPr>
        <w:t>–</w:t>
      </w:r>
      <w:r>
        <w:rPr>
          <w:rFonts w:ascii="Arial" w:hAnsi="Arial" w:cs="Arial"/>
        </w:rPr>
        <w:t xml:space="preserve">End </w:t>
      </w:r>
      <w:r w:rsidRPr="00F47497">
        <w:rPr>
          <w:rFonts w:ascii="Arial" w:hAnsi="Arial" w:cs="Arial"/>
        </w:rPr>
        <w:t>Position</w:t>
      </w:r>
    </w:p>
    <w:p w:rsidR="006A5645" w:rsidRPr="00F47497" w:rsidRDefault="006A5645" w:rsidP="00C46767">
      <w:pPr>
        <w:rPr>
          <w:rFonts w:ascii="Arial" w:hAnsi="Arial" w:cs="Arial"/>
        </w:rPr>
      </w:pPr>
    </w:p>
    <w:p w:rsidR="006A5645" w:rsidRPr="00F47497" w:rsidRDefault="006A5645" w:rsidP="00C46767">
      <w:pPr>
        <w:ind w:left="720"/>
        <w:rPr>
          <w:rFonts w:ascii="Arial" w:hAnsi="Arial" w:cs="Arial"/>
        </w:rPr>
      </w:pPr>
      <w:r w:rsidRPr="00F47497">
        <w:rPr>
          <w:rFonts w:ascii="Arial" w:hAnsi="Arial" w:cs="Arial"/>
        </w:rPr>
        <w:t>As detailed in the attached accounts the out-turn for the year is as follows:</w:t>
      </w:r>
    </w:p>
    <w:p w:rsidR="006A5645" w:rsidRPr="00F47497" w:rsidRDefault="006A5645" w:rsidP="00C46767">
      <w:pPr>
        <w:ind w:left="720"/>
        <w:rPr>
          <w:rFonts w:ascii="Arial" w:hAnsi="Arial" w:cs="Arial"/>
        </w:rPr>
      </w:pPr>
    </w:p>
    <w:tbl>
      <w:tblPr>
        <w:tblW w:w="7920" w:type="dxa"/>
        <w:tblInd w:w="828" w:type="dxa"/>
        <w:tblLayout w:type="fixed"/>
        <w:tblLook w:val="0000"/>
      </w:tblPr>
      <w:tblGrid>
        <w:gridCol w:w="840"/>
        <w:gridCol w:w="2580"/>
        <w:gridCol w:w="1622"/>
        <w:gridCol w:w="1416"/>
        <w:gridCol w:w="1462"/>
      </w:tblGrid>
      <w:tr w:rsidR="006A5645" w:rsidRPr="00004C66" w:rsidTr="00F718E6">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258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Limit as set by SGHSCD</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Actual Outturn</w:t>
            </w:r>
          </w:p>
        </w:tc>
        <w:tc>
          <w:tcPr>
            <w:tcW w:w="146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Variance (Over)/</w:t>
            </w:r>
          </w:p>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Under</w:t>
            </w:r>
          </w:p>
        </w:tc>
      </w:tr>
      <w:tr w:rsidR="006A5645" w:rsidRPr="00004C66" w:rsidTr="00F718E6">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258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£’000</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£’000</w:t>
            </w:r>
          </w:p>
        </w:tc>
        <w:tc>
          <w:tcPr>
            <w:tcW w:w="146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b/>
                <w:bCs/>
                <w:color w:val="000000"/>
                <w:szCs w:val="22"/>
                <w:lang w:val="en-GB"/>
              </w:rPr>
            </w:pPr>
            <w:r w:rsidRPr="00004C66">
              <w:rPr>
                <w:rFonts w:ascii="Arial" w:hAnsi="Arial" w:cs="Arial"/>
                <w:b/>
                <w:bCs/>
                <w:color w:val="000000"/>
                <w:szCs w:val="22"/>
                <w:lang w:val="en-GB"/>
              </w:rPr>
              <w:t>£’000</w:t>
            </w:r>
          </w:p>
        </w:tc>
      </w:tr>
      <w:tr w:rsidR="006A5645" w:rsidRPr="00004C66" w:rsidTr="00F718E6">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258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(1)</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(2)</w:t>
            </w:r>
          </w:p>
        </w:tc>
        <w:tc>
          <w:tcPr>
            <w:tcW w:w="146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(3)</w:t>
            </w:r>
          </w:p>
        </w:tc>
      </w:tr>
      <w:tr w:rsidR="006A5645" w:rsidRPr="00004C66" w:rsidTr="00F718E6">
        <w:tc>
          <w:tcPr>
            <w:tcW w:w="84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1</w:t>
            </w:r>
          </w:p>
        </w:tc>
        <w:tc>
          <w:tcPr>
            <w:tcW w:w="258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Revenue Resource limit - core</w:t>
            </w: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65,128</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65,128</w:t>
            </w:r>
          </w:p>
        </w:tc>
        <w:tc>
          <w:tcPr>
            <w:tcW w:w="1462" w:type="dxa"/>
          </w:tcPr>
          <w:p w:rsidR="006A5645" w:rsidRPr="00004C66" w:rsidRDefault="006A5645" w:rsidP="007E5309">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w:t>
            </w:r>
          </w:p>
        </w:tc>
      </w:tr>
      <w:tr w:rsidR="006A5645" w:rsidRPr="00004C66" w:rsidTr="00F718E6">
        <w:tc>
          <w:tcPr>
            <w:tcW w:w="84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p>
        </w:tc>
        <w:tc>
          <w:tcPr>
            <w:tcW w:w="258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lang w:val="fr-FR"/>
              </w:rPr>
            </w:pPr>
            <w:r w:rsidRPr="00004C66">
              <w:rPr>
                <w:rFonts w:ascii="Arial" w:hAnsi="Arial" w:cs="Arial"/>
                <w:color w:val="000000"/>
                <w:szCs w:val="22"/>
                <w:lang w:val="fr-FR"/>
              </w:rPr>
              <w:t xml:space="preserve">Revenue Resource </w:t>
            </w:r>
            <w:r w:rsidRPr="00004C66">
              <w:rPr>
                <w:rFonts w:ascii="Arial" w:hAnsi="Arial" w:cs="Arial"/>
                <w:color w:val="000000"/>
                <w:szCs w:val="22"/>
              </w:rPr>
              <w:t>limit</w:t>
            </w:r>
            <w:r w:rsidRPr="00004C66">
              <w:rPr>
                <w:rFonts w:ascii="Arial" w:hAnsi="Arial" w:cs="Arial"/>
                <w:color w:val="000000"/>
                <w:szCs w:val="22"/>
                <w:lang w:val="fr-FR"/>
              </w:rPr>
              <w:t xml:space="preserve"> – non-</w:t>
            </w:r>
            <w:r w:rsidRPr="00004C66">
              <w:rPr>
                <w:rFonts w:ascii="Arial" w:hAnsi="Arial" w:cs="Arial"/>
                <w:color w:val="000000"/>
                <w:szCs w:val="22"/>
              </w:rPr>
              <w:t>core</w:t>
            </w: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7,247</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7,247</w:t>
            </w:r>
          </w:p>
        </w:tc>
        <w:tc>
          <w:tcPr>
            <w:tcW w:w="146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w:t>
            </w:r>
          </w:p>
        </w:tc>
      </w:tr>
      <w:tr w:rsidR="006A5645" w:rsidRPr="00004C66" w:rsidTr="00F718E6">
        <w:trPr>
          <w:trHeight w:val="325"/>
        </w:trPr>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7080" w:type="dxa"/>
            <w:gridSpan w:val="4"/>
          </w:tcPr>
          <w:p w:rsidR="006A5645" w:rsidRPr="00004C66" w:rsidRDefault="006A5645" w:rsidP="00B14DB1">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Details of this are found in the Statement of comprehensive net expenditure and summary of resource out-turn on page 41-42.</w:t>
            </w:r>
          </w:p>
        </w:tc>
      </w:tr>
      <w:tr w:rsidR="006A5645" w:rsidRPr="00004C66" w:rsidTr="00F718E6">
        <w:tc>
          <w:tcPr>
            <w:tcW w:w="84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2</w:t>
            </w:r>
          </w:p>
        </w:tc>
        <w:tc>
          <w:tcPr>
            <w:tcW w:w="258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Capital Resource Limit - core</w:t>
            </w:r>
          </w:p>
        </w:tc>
        <w:tc>
          <w:tcPr>
            <w:tcW w:w="1622" w:type="dxa"/>
          </w:tcPr>
          <w:p w:rsidR="006A5645" w:rsidRPr="00004C66" w:rsidRDefault="006A5645" w:rsidP="00060328">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4,947</w:t>
            </w:r>
          </w:p>
        </w:tc>
        <w:tc>
          <w:tcPr>
            <w:tcW w:w="1416" w:type="dxa"/>
          </w:tcPr>
          <w:p w:rsidR="006A5645" w:rsidRPr="00004C66" w:rsidRDefault="006A5645" w:rsidP="00060328">
            <w:pPr>
              <w:pStyle w:val="Hangingindent1"/>
              <w:tabs>
                <w:tab w:val="clear" w:pos="720"/>
                <w:tab w:val="clear" w:pos="1440"/>
                <w:tab w:val="clear" w:pos="2160"/>
                <w:tab w:val="left" w:pos="1134"/>
                <w:tab w:val="left" w:pos="1701"/>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4,947</w:t>
            </w:r>
          </w:p>
        </w:tc>
        <w:tc>
          <w:tcPr>
            <w:tcW w:w="1462" w:type="dxa"/>
          </w:tcPr>
          <w:p w:rsidR="006A5645" w:rsidRPr="00004C66" w:rsidRDefault="006A5645" w:rsidP="00C46767">
            <w:pPr>
              <w:pStyle w:val="Hangingindent1"/>
              <w:tabs>
                <w:tab w:val="clear" w:pos="720"/>
                <w:tab w:val="clear" w:pos="1440"/>
                <w:tab w:val="clear" w:pos="2160"/>
                <w:tab w:val="left" w:pos="2268"/>
              </w:tabs>
              <w:spacing w:line="240" w:lineRule="auto"/>
              <w:ind w:left="0" w:firstLine="0"/>
              <w:rPr>
                <w:rFonts w:ascii="Arial" w:hAnsi="Arial" w:cs="Arial"/>
                <w:color w:val="000000"/>
                <w:szCs w:val="22"/>
                <w:lang w:val="en-GB"/>
              </w:rPr>
            </w:pPr>
            <w:r w:rsidRPr="00004C66">
              <w:rPr>
                <w:rFonts w:ascii="Arial" w:hAnsi="Arial" w:cs="Arial"/>
                <w:color w:val="000000"/>
                <w:szCs w:val="22"/>
                <w:lang w:val="en-GB"/>
              </w:rPr>
              <w:t>-</w:t>
            </w:r>
          </w:p>
        </w:tc>
      </w:tr>
      <w:tr w:rsidR="006A5645" w:rsidRPr="00004C66" w:rsidTr="00F718E6">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7080" w:type="dxa"/>
            <w:gridSpan w:val="4"/>
          </w:tcPr>
          <w:p w:rsidR="006A5645" w:rsidRPr="00004C66" w:rsidRDefault="006A5645" w:rsidP="00B14DB1">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Details of this are found at Note 8, analysis of capital expenditure on page 59.</w:t>
            </w:r>
          </w:p>
        </w:tc>
      </w:tr>
      <w:tr w:rsidR="006A5645" w:rsidRPr="00004C66" w:rsidTr="00F718E6">
        <w:tc>
          <w:tcPr>
            <w:tcW w:w="84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3</w:t>
            </w:r>
          </w:p>
        </w:tc>
        <w:tc>
          <w:tcPr>
            <w:tcW w:w="2580" w:type="dxa"/>
          </w:tcPr>
          <w:p w:rsidR="006A5645" w:rsidRPr="00004C66" w:rsidRDefault="006A5645" w:rsidP="00C46767">
            <w:pPr>
              <w:pStyle w:val="2-col-note"/>
              <w:tabs>
                <w:tab w:val="left" w:pos="1134"/>
                <w:tab w:val="left" w:pos="1701"/>
                <w:tab w:val="left" w:pos="2268"/>
              </w:tabs>
              <w:spacing w:line="240" w:lineRule="auto"/>
              <w:jc w:val="left"/>
              <w:rPr>
                <w:rFonts w:ascii="Arial" w:hAnsi="Arial" w:cs="Arial"/>
                <w:color w:val="000000"/>
                <w:szCs w:val="22"/>
              </w:rPr>
            </w:pPr>
            <w:r w:rsidRPr="00004C66">
              <w:rPr>
                <w:rFonts w:ascii="Arial" w:hAnsi="Arial" w:cs="Arial"/>
                <w:color w:val="000000"/>
                <w:szCs w:val="22"/>
              </w:rPr>
              <w:t>Cash Requirement</w:t>
            </w:r>
          </w:p>
        </w:tc>
        <w:tc>
          <w:tcPr>
            <w:tcW w:w="162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69,679</w:t>
            </w:r>
          </w:p>
        </w:tc>
        <w:tc>
          <w:tcPr>
            <w:tcW w:w="1416"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69,679</w:t>
            </w:r>
          </w:p>
        </w:tc>
        <w:tc>
          <w:tcPr>
            <w:tcW w:w="1462"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w:t>
            </w:r>
          </w:p>
        </w:tc>
      </w:tr>
      <w:tr w:rsidR="006A5645" w:rsidRPr="00004C66" w:rsidTr="00F718E6">
        <w:tc>
          <w:tcPr>
            <w:tcW w:w="840" w:type="dxa"/>
          </w:tcPr>
          <w:p w:rsidR="006A5645" w:rsidRPr="00004C66" w:rsidRDefault="006A5645" w:rsidP="00C46767">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p>
        </w:tc>
        <w:tc>
          <w:tcPr>
            <w:tcW w:w="7080" w:type="dxa"/>
            <w:gridSpan w:val="4"/>
          </w:tcPr>
          <w:p w:rsidR="006A5645" w:rsidRPr="00004C66" w:rsidRDefault="006A5645" w:rsidP="00B14DB1">
            <w:pPr>
              <w:pStyle w:val="Hangingindent1"/>
              <w:tabs>
                <w:tab w:val="clear" w:pos="720"/>
                <w:tab w:val="clear" w:pos="1440"/>
                <w:tab w:val="clear" w:pos="2160"/>
                <w:tab w:val="left" w:pos="1134"/>
                <w:tab w:val="left" w:pos="1701"/>
                <w:tab w:val="left" w:pos="2268"/>
              </w:tabs>
              <w:spacing w:line="240" w:lineRule="auto"/>
              <w:ind w:left="0" w:firstLine="0"/>
              <w:jc w:val="left"/>
              <w:rPr>
                <w:rFonts w:ascii="Arial" w:hAnsi="Arial" w:cs="Arial"/>
                <w:color w:val="000000"/>
                <w:szCs w:val="22"/>
                <w:lang w:val="en-GB"/>
              </w:rPr>
            </w:pPr>
            <w:r w:rsidRPr="00004C66">
              <w:rPr>
                <w:rFonts w:ascii="Arial" w:hAnsi="Arial" w:cs="Arial"/>
                <w:color w:val="000000"/>
                <w:szCs w:val="22"/>
                <w:lang w:val="en-GB"/>
              </w:rPr>
              <w:t>Details of this are found in the Cash Flow Statement on page 45.</w:t>
            </w:r>
          </w:p>
        </w:tc>
      </w:tr>
    </w:tbl>
    <w:p w:rsidR="006A5645" w:rsidRPr="00F47497" w:rsidRDefault="006A5645" w:rsidP="00482EFB">
      <w:pPr>
        <w:pStyle w:val="Heading4"/>
        <w:rPr>
          <w:rFonts w:ascii="Arial" w:hAnsi="Arial" w:cs="Arial"/>
        </w:rPr>
      </w:pPr>
      <w:r w:rsidRPr="00F47497">
        <w:rPr>
          <w:rFonts w:ascii="Arial" w:hAnsi="Arial" w:cs="Arial"/>
        </w:rPr>
        <w:t xml:space="preserve">Amendments to Accounts </w:t>
      </w:r>
    </w:p>
    <w:p w:rsidR="006A5645" w:rsidRPr="00F47497" w:rsidRDefault="006A5645" w:rsidP="00482EFB">
      <w:pPr>
        <w:rPr>
          <w:rFonts w:ascii="Arial" w:hAnsi="Arial" w:cs="Arial"/>
        </w:rPr>
      </w:pPr>
    </w:p>
    <w:p w:rsidR="006A5645" w:rsidRPr="00F47497" w:rsidRDefault="006A5645" w:rsidP="00482EFB">
      <w:pPr>
        <w:pStyle w:val="BodyTextIndent2"/>
        <w:jc w:val="left"/>
        <w:rPr>
          <w:rFonts w:ascii="Arial" w:hAnsi="Arial" w:cs="Arial"/>
          <w:bCs w:val="0"/>
          <w:iCs w:val="0"/>
        </w:rPr>
      </w:pPr>
      <w:r w:rsidRPr="00F47497">
        <w:rPr>
          <w:rFonts w:ascii="Arial" w:hAnsi="Arial" w:cs="Arial"/>
          <w:bCs w:val="0"/>
          <w:iCs w:val="0"/>
        </w:rPr>
        <w:t>Following changes issued via the Financial Reporting Manual (FReM)</w:t>
      </w:r>
      <w:r>
        <w:rPr>
          <w:rFonts w:ascii="Arial" w:hAnsi="Arial" w:cs="Arial"/>
          <w:bCs w:val="0"/>
          <w:iCs w:val="0"/>
        </w:rPr>
        <w:t>,</w:t>
      </w:r>
      <w:r w:rsidRPr="00F47497">
        <w:rPr>
          <w:rFonts w:ascii="Arial" w:hAnsi="Arial" w:cs="Arial"/>
          <w:bCs w:val="0"/>
          <w:iCs w:val="0"/>
        </w:rPr>
        <w:t xml:space="preserve"> a number of amendments </w:t>
      </w:r>
      <w:r>
        <w:rPr>
          <w:rFonts w:ascii="Arial" w:hAnsi="Arial" w:cs="Arial"/>
          <w:bCs w:val="0"/>
          <w:iCs w:val="0"/>
        </w:rPr>
        <w:t>primarily to</w:t>
      </w:r>
      <w:r w:rsidRPr="00F47497">
        <w:rPr>
          <w:rFonts w:ascii="Arial" w:hAnsi="Arial" w:cs="Arial"/>
          <w:bCs w:val="0"/>
          <w:iCs w:val="0"/>
        </w:rPr>
        <w:t xml:space="preserve"> t</w:t>
      </w:r>
      <w:r>
        <w:rPr>
          <w:rFonts w:ascii="Arial" w:hAnsi="Arial" w:cs="Arial"/>
          <w:bCs w:val="0"/>
          <w:iCs w:val="0"/>
        </w:rPr>
        <w:t xml:space="preserve">he presentation of the accounts have been made and incorporated in these accounts. The amendments are also consistent with guidance issued by Audit Scotland regarding improvements to the format of the accounts. The revisions to </w:t>
      </w:r>
      <w:r w:rsidRPr="00F47497">
        <w:rPr>
          <w:rFonts w:ascii="Arial" w:hAnsi="Arial" w:cs="Arial"/>
          <w:bCs w:val="0"/>
          <w:iCs w:val="0"/>
        </w:rPr>
        <w:t>disclosures</w:t>
      </w:r>
      <w:r>
        <w:rPr>
          <w:rFonts w:ascii="Arial" w:hAnsi="Arial" w:cs="Arial"/>
          <w:bCs w:val="0"/>
          <w:iCs w:val="0"/>
        </w:rPr>
        <w:t xml:space="preserve"> are consistent with the guidance above and also support additional guidance from HM Treasury regarding updates to accounting standards</w:t>
      </w:r>
      <w:r w:rsidRPr="00F47497">
        <w:rPr>
          <w:rFonts w:ascii="Arial" w:hAnsi="Arial" w:cs="Arial"/>
          <w:bCs w:val="0"/>
          <w:iCs w:val="0"/>
        </w:rPr>
        <w:t>, these are detailed below:</w:t>
      </w:r>
    </w:p>
    <w:p w:rsidR="006A5645" w:rsidRPr="00F47497" w:rsidRDefault="006A5645" w:rsidP="009034E5">
      <w:pPr>
        <w:pStyle w:val="BodyTextIndent2"/>
        <w:ind w:left="0"/>
        <w:jc w:val="left"/>
        <w:rPr>
          <w:rFonts w:ascii="Arial" w:hAnsi="Arial" w:cs="Arial"/>
          <w:bCs w:val="0"/>
          <w:iCs w:val="0"/>
        </w:rPr>
      </w:pPr>
    </w:p>
    <w:p w:rsidR="006A5645" w:rsidRPr="00F47497" w:rsidRDefault="006A5645" w:rsidP="00482EFB">
      <w:pPr>
        <w:pStyle w:val="BodyTextIndent2"/>
        <w:jc w:val="left"/>
        <w:rPr>
          <w:rFonts w:ascii="Arial" w:hAnsi="Arial" w:cs="Arial"/>
          <w:bCs w:val="0"/>
          <w:iCs w:val="0"/>
        </w:rPr>
      </w:pPr>
      <w:r w:rsidRPr="00F47497">
        <w:rPr>
          <w:rFonts w:ascii="Arial" w:hAnsi="Arial" w:cs="Arial"/>
          <w:b/>
          <w:bCs w:val="0"/>
          <w:iCs w:val="0"/>
        </w:rPr>
        <w:t>Changes to presentation</w:t>
      </w:r>
      <w:r w:rsidRPr="00F47497">
        <w:rPr>
          <w:rFonts w:ascii="Arial" w:hAnsi="Arial" w:cs="Arial"/>
          <w:bCs w:val="0"/>
          <w:iCs w:val="0"/>
        </w:rPr>
        <w:t>:</w:t>
      </w:r>
    </w:p>
    <w:p w:rsidR="006A5645" w:rsidRPr="00F47497" w:rsidRDefault="006A5645" w:rsidP="00482EFB">
      <w:pPr>
        <w:pStyle w:val="BodyTextIndent2"/>
        <w:jc w:val="left"/>
        <w:rPr>
          <w:rFonts w:ascii="Arial" w:hAnsi="Arial" w:cs="Arial"/>
          <w:bCs w:val="0"/>
          <w:iCs w:val="0"/>
        </w:rPr>
      </w:pPr>
    </w:p>
    <w:p w:rsidR="006A5645" w:rsidRDefault="006A5645" w:rsidP="00092659">
      <w:pPr>
        <w:pStyle w:val="BodyTextIndent2"/>
        <w:numPr>
          <w:ilvl w:val="0"/>
          <w:numId w:val="35"/>
        </w:numPr>
        <w:jc w:val="left"/>
        <w:rPr>
          <w:rFonts w:ascii="Arial" w:hAnsi="Arial" w:cs="Arial"/>
          <w:bCs w:val="0"/>
          <w:iCs w:val="0"/>
        </w:rPr>
      </w:pPr>
      <w:r>
        <w:rPr>
          <w:rFonts w:ascii="Arial" w:hAnsi="Arial" w:cs="Arial"/>
          <w:bCs w:val="0"/>
          <w:iCs w:val="0"/>
        </w:rPr>
        <w:t>In line with FReM the structure of the accounts has been amended to reflect the following to be included in the annual report, this is consistent with prior year:</w:t>
      </w:r>
    </w:p>
    <w:p w:rsidR="006A5645" w:rsidRDefault="006A5645" w:rsidP="00521ABF">
      <w:pPr>
        <w:pStyle w:val="BodyTextIndent2"/>
        <w:numPr>
          <w:ilvl w:val="1"/>
          <w:numId w:val="35"/>
        </w:numPr>
        <w:jc w:val="left"/>
        <w:rPr>
          <w:rFonts w:ascii="Arial" w:hAnsi="Arial" w:cs="Arial"/>
          <w:bCs w:val="0"/>
          <w:iCs w:val="0"/>
        </w:rPr>
      </w:pPr>
      <w:r>
        <w:rPr>
          <w:rFonts w:ascii="Arial" w:hAnsi="Arial" w:cs="Arial"/>
          <w:bCs w:val="0"/>
          <w:iCs w:val="0"/>
        </w:rPr>
        <w:t>Performance Report (this provides a fair, balanced and understandable analysis of the Board’s performance)  – requires to be signed by the Chief Executive.</w:t>
      </w:r>
    </w:p>
    <w:p w:rsidR="006A5645" w:rsidRDefault="006A5645" w:rsidP="00521ABF">
      <w:pPr>
        <w:pStyle w:val="BodyTextIndent2"/>
        <w:numPr>
          <w:ilvl w:val="1"/>
          <w:numId w:val="35"/>
        </w:numPr>
        <w:jc w:val="left"/>
        <w:rPr>
          <w:rFonts w:ascii="Arial" w:hAnsi="Arial" w:cs="Arial"/>
          <w:bCs w:val="0"/>
          <w:iCs w:val="0"/>
        </w:rPr>
      </w:pPr>
      <w:r>
        <w:rPr>
          <w:rFonts w:ascii="Arial" w:hAnsi="Arial" w:cs="Arial"/>
          <w:bCs w:val="0"/>
          <w:iCs w:val="0"/>
        </w:rPr>
        <w:t>Accountability Report (this provide assurance that the key accountability requirements are being met) – requires to be signed by the Chief Executive.</w:t>
      </w:r>
    </w:p>
    <w:p w:rsidR="006A5645" w:rsidRDefault="006A5645" w:rsidP="00521ABF">
      <w:pPr>
        <w:pStyle w:val="BodyTextIndent2"/>
        <w:numPr>
          <w:ilvl w:val="1"/>
          <w:numId w:val="35"/>
        </w:numPr>
        <w:jc w:val="left"/>
        <w:rPr>
          <w:rFonts w:ascii="Arial" w:hAnsi="Arial" w:cs="Arial"/>
          <w:bCs w:val="0"/>
          <w:iCs w:val="0"/>
        </w:rPr>
      </w:pPr>
      <w:r>
        <w:rPr>
          <w:rFonts w:ascii="Arial" w:hAnsi="Arial" w:cs="Arial"/>
          <w:bCs w:val="0"/>
          <w:iCs w:val="0"/>
        </w:rPr>
        <w:t>Financial Statements – Balance Sheet requires to be signed by the Chief Executive and Director of Finance.</w:t>
      </w:r>
    </w:p>
    <w:p w:rsidR="006A5645" w:rsidRDefault="006A5645" w:rsidP="00DD32F9">
      <w:pPr>
        <w:pStyle w:val="BodyTextIndent2"/>
        <w:ind w:left="0"/>
        <w:jc w:val="left"/>
        <w:rPr>
          <w:rFonts w:ascii="Arial" w:hAnsi="Arial" w:cs="Arial"/>
          <w:bCs w:val="0"/>
          <w:iCs w:val="0"/>
        </w:rPr>
      </w:pPr>
    </w:p>
    <w:p w:rsidR="006A5645" w:rsidRDefault="006A5645" w:rsidP="00DD32F9">
      <w:pPr>
        <w:pStyle w:val="BodyTextIndent2"/>
        <w:jc w:val="left"/>
        <w:rPr>
          <w:rFonts w:ascii="Arial" w:hAnsi="Arial" w:cs="Arial"/>
          <w:bCs w:val="0"/>
          <w:iCs w:val="0"/>
        </w:rPr>
      </w:pPr>
      <w:r>
        <w:rPr>
          <w:rFonts w:ascii="Arial" w:hAnsi="Arial" w:cs="Arial"/>
          <w:bCs w:val="0"/>
          <w:iCs w:val="0"/>
        </w:rPr>
        <w:t>The only other part of the accounts that requires signing is the Audit Opinion from external audit.</w:t>
      </w:r>
    </w:p>
    <w:p w:rsidR="006A5645" w:rsidRPr="00F47497" w:rsidRDefault="006A5645" w:rsidP="00521ABF">
      <w:pPr>
        <w:pStyle w:val="BodyTextIndent2"/>
        <w:jc w:val="left"/>
        <w:rPr>
          <w:rFonts w:ascii="Arial" w:hAnsi="Arial" w:cs="Arial"/>
          <w:bCs w:val="0"/>
          <w:iCs w:val="0"/>
        </w:rPr>
      </w:pPr>
    </w:p>
    <w:p w:rsidR="006A5645" w:rsidRDefault="006A5645" w:rsidP="00602C70">
      <w:pPr>
        <w:pStyle w:val="BodyTextIndent2"/>
        <w:jc w:val="left"/>
        <w:rPr>
          <w:rFonts w:ascii="Arial" w:hAnsi="Arial" w:cs="Arial"/>
          <w:b/>
          <w:bCs w:val="0"/>
          <w:iCs w:val="0"/>
        </w:rPr>
      </w:pPr>
      <w:r w:rsidRPr="00F47497">
        <w:rPr>
          <w:rFonts w:ascii="Arial" w:hAnsi="Arial" w:cs="Arial"/>
          <w:b/>
          <w:bCs w:val="0"/>
          <w:iCs w:val="0"/>
        </w:rPr>
        <w:t>Changes to Disclosures</w:t>
      </w:r>
    </w:p>
    <w:p w:rsidR="006A5645" w:rsidRDefault="006A5645" w:rsidP="00602C70">
      <w:pPr>
        <w:pStyle w:val="BodyTextIndent2"/>
        <w:jc w:val="left"/>
        <w:rPr>
          <w:rFonts w:ascii="Arial" w:hAnsi="Arial" w:cs="Arial"/>
          <w:b/>
          <w:bCs w:val="0"/>
          <w:iCs w:val="0"/>
        </w:rPr>
      </w:pPr>
    </w:p>
    <w:p w:rsidR="006A5645" w:rsidRDefault="006A5645" w:rsidP="00602C70">
      <w:pPr>
        <w:pStyle w:val="BodyTextIndent2"/>
        <w:jc w:val="left"/>
        <w:rPr>
          <w:rFonts w:ascii="Arial" w:hAnsi="Arial" w:cs="Arial"/>
          <w:bCs w:val="0"/>
          <w:iCs w:val="0"/>
        </w:rPr>
      </w:pPr>
      <w:r>
        <w:rPr>
          <w:rFonts w:ascii="Arial" w:hAnsi="Arial" w:cs="Arial"/>
          <w:bCs w:val="0"/>
          <w:iCs w:val="0"/>
        </w:rPr>
        <w:t>A number of areas that were included in the financial statements previously are now included in the Accountability Report, mainly related to remuneration:</w:t>
      </w:r>
    </w:p>
    <w:p w:rsidR="006A5645" w:rsidRDefault="006A5645" w:rsidP="00602C70">
      <w:pPr>
        <w:pStyle w:val="BodyTextIndent2"/>
        <w:jc w:val="left"/>
        <w:rPr>
          <w:rFonts w:ascii="Arial" w:hAnsi="Arial" w:cs="Arial"/>
          <w:bCs w:val="0"/>
          <w:iCs w:val="0"/>
        </w:rPr>
      </w:pPr>
    </w:p>
    <w:p w:rsidR="006A5645" w:rsidRDefault="006A5645" w:rsidP="00687211">
      <w:pPr>
        <w:pStyle w:val="BodyTextIndent2"/>
        <w:numPr>
          <w:ilvl w:val="0"/>
          <w:numId w:val="45"/>
        </w:numPr>
        <w:jc w:val="left"/>
        <w:rPr>
          <w:rFonts w:ascii="Arial" w:hAnsi="Arial" w:cs="Arial"/>
          <w:bCs w:val="0"/>
          <w:iCs w:val="0"/>
        </w:rPr>
      </w:pPr>
      <w:r>
        <w:rPr>
          <w:rFonts w:ascii="Arial" w:hAnsi="Arial" w:cs="Arial"/>
          <w:bCs w:val="0"/>
          <w:iCs w:val="0"/>
        </w:rPr>
        <w:t xml:space="preserve">The inclusion of the statement from the Chief Executive providing their opinion of the Board’s performance for the year, become optional in 2016/17. It was agreed internally to include this statement. </w:t>
      </w:r>
    </w:p>
    <w:p w:rsidR="006A5645" w:rsidRDefault="006A5645" w:rsidP="00687211">
      <w:pPr>
        <w:pStyle w:val="BodyTextIndent2"/>
        <w:numPr>
          <w:ilvl w:val="0"/>
          <w:numId w:val="45"/>
        </w:numPr>
        <w:jc w:val="left"/>
        <w:rPr>
          <w:rFonts w:ascii="Arial" w:hAnsi="Arial" w:cs="Arial"/>
          <w:bCs w:val="0"/>
          <w:iCs w:val="0"/>
        </w:rPr>
      </w:pPr>
      <w:r>
        <w:rPr>
          <w:rFonts w:ascii="Arial" w:hAnsi="Arial" w:cs="Arial"/>
          <w:bCs w:val="0"/>
          <w:iCs w:val="0"/>
        </w:rPr>
        <w:t>Staff numbers by WTE (prior year headcount was required as well, this has been removed as a requirement for 2016/17). In addition this has now been removed from the Disclosures at note 2 and is now included in the staff report part of the accountability report.</w:t>
      </w:r>
    </w:p>
    <w:p w:rsidR="006A5645" w:rsidRDefault="006A5645" w:rsidP="00687211">
      <w:pPr>
        <w:pStyle w:val="BodyTextIndent2"/>
        <w:numPr>
          <w:ilvl w:val="0"/>
          <w:numId w:val="45"/>
        </w:numPr>
        <w:jc w:val="left"/>
        <w:rPr>
          <w:rFonts w:ascii="Arial" w:hAnsi="Arial" w:cs="Arial"/>
          <w:bCs w:val="0"/>
          <w:iCs w:val="0"/>
        </w:rPr>
      </w:pPr>
      <w:r>
        <w:rPr>
          <w:rFonts w:ascii="Arial" w:hAnsi="Arial" w:cs="Arial"/>
          <w:bCs w:val="0"/>
          <w:iCs w:val="0"/>
        </w:rPr>
        <w:t>Expenditure on Consultancy- this has been removed from the accountability report for 2016/17 and is contained within the expenditure note.</w:t>
      </w:r>
    </w:p>
    <w:p w:rsidR="006A5645" w:rsidRDefault="006A5645" w:rsidP="00687211">
      <w:pPr>
        <w:pStyle w:val="BodyTextIndent2"/>
        <w:numPr>
          <w:ilvl w:val="0"/>
          <w:numId w:val="45"/>
        </w:numPr>
        <w:jc w:val="left"/>
        <w:rPr>
          <w:rFonts w:ascii="Arial" w:hAnsi="Arial" w:cs="Arial"/>
          <w:bCs w:val="0"/>
          <w:iCs w:val="0"/>
        </w:rPr>
      </w:pPr>
      <w:r>
        <w:rPr>
          <w:rFonts w:ascii="Arial" w:hAnsi="Arial" w:cs="Arial"/>
          <w:bCs w:val="0"/>
          <w:iCs w:val="0"/>
        </w:rPr>
        <w:t>Off-payroll engagements –</w:t>
      </w:r>
      <w:r w:rsidRPr="000E5001">
        <w:rPr>
          <w:rFonts w:ascii="Arial" w:hAnsi="Arial" w:cs="Arial"/>
          <w:bCs w:val="0"/>
          <w:iCs w:val="0"/>
        </w:rPr>
        <w:t xml:space="preserve"> </w:t>
      </w:r>
      <w:r>
        <w:rPr>
          <w:rFonts w:ascii="Arial" w:hAnsi="Arial" w:cs="Arial"/>
          <w:bCs w:val="0"/>
          <w:iCs w:val="0"/>
        </w:rPr>
        <w:t>this has been remove from Scottish Government reporting requirements, however is still included in FReM. It is likely that this will return to the accounts in 2017/18.</w:t>
      </w:r>
    </w:p>
    <w:p w:rsidR="006A5645" w:rsidRDefault="006A5645" w:rsidP="00687211">
      <w:pPr>
        <w:pStyle w:val="BodyTextIndent2"/>
        <w:numPr>
          <w:ilvl w:val="0"/>
          <w:numId w:val="45"/>
        </w:numPr>
        <w:jc w:val="left"/>
        <w:rPr>
          <w:rFonts w:ascii="Arial" w:hAnsi="Arial" w:cs="Arial"/>
          <w:bCs w:val="0"/>
          <w:iCs w:val="0"/>
        </w:rPr>
      </w:pPr>
      <w:r>
        <w:rPr>
          <w:rFonts w:ascii="Arial" w:hAnsi="Arial" w:cs="Arial"/>
          <w:bCs w:val="0"/>
          <w:iCs w:val="0"/>
        </w:rPr>
        <w:t>The inclusion of a Parliamentary Audit Report – this collates the Key Parliamentary accountability documents in to the annual report and accounts and includes the following:</w:t>
      </w:r>
    </w:p>
    <w:p w:rsidR="006A5645" w:rsidRDefault="006A5645" w:rsidP="00120D52">
      <w:pPr>
        <w:pStyle w:val="BodyTextIndent2"/>
        <w:numPr>
          <w:ilvl w:val="1"/>
          <w:numId w:val="45"/>
        </w:numPr>
        <w:jc w:val="left"/>
        <w:rPr>
          <w:rFonts w:ascii="Arial" w:hAnsi="Arial" w:cs="Arial"/>
          <w:bCs w:val="0"/>
          <w:iCs w:val="0"/>
        </w:rPr>
      </w:pPr>
      <w:r>
        <w:rPr>
          <w:rFonts w:ascii="Arial" w:hAnsi="Arial" w:cs="Arial"/>
          <w:bCs w:val="0"/>
          <w:iCs w:val="0"/>
        </w:rPr>
        <w:t>Losses and Special Payments (this is losses or payments over £250,000); and</w:t>
      </w:r>
    </w:p>
    <w:p w:rsidR="006A5645" w:rsidRDefault="006A5645" w:rsidP="00120D52">
      <w:pPr>
        <w:pStyle w:val="BodyTextIndent2"/>
        <w:numPr>
          <w:ilvl w:val="1"/>
          <w:numId w:val="45"/>
        </w:numPr>
        <w:jc w:val="left"/>
        <w:rPr>
          <w:rFonts w:ascii="Arial" w:hAnsi="Arial" w:cs="Arial"/>
          <w:bCs w:val="0"/>
          <w:iCs w:val="0"/>
        </w:rPr>
      </w:pPr>
      <w:r>
        <w:rPr>
          <w:rFonts w:ascii="Arial" w:hAnsi="Arial" w:cs="Arial"/>
          <w:bCs w:val="0"/>
          <w:iCs w:val="0"/>
        </w:rPr>
        <w:t>Fees and Charges, this is fees and charges for services that have a material impact on the accounts (this is where the annual cost is over £1million).</w:t>
      </w:r>
    </w:p>
    <w:p w:rsidR="006A5645" w:rsidRDefault="006A5645" w:rsidP="00586FB8">
      <w:pPr>
        <w:pStyle w:val="BodyTextIndent2"/>
        <w:jc w:val="left"/>
        <w:rPr>
          <w:rFonts w:ascii="Arial" w:hAnsi="Arial" w:cs="Arial"/>
          <w:bCs w:val="0"/>
          <w:iCs w:val="0"/>
        </w:rPr>
      </w:pPr>
    </w:p>
    <w:p w:rsidR="006A5645" w:rsidRPr="00DD32F9" w:rsidRDefault="006A5645" w:rsidP="00586FB8">
      <w:pPr>
        <w:pStyle w:val="BodyTextIndent2"/>
        <w:jc w:val="left"/>
        <w:rPr>
          <w:rFonts w:ascii="Arial" w:hAnsi="Arial" w:cs="Arial"/>
          <w:bCs w:val="0"/>
          <w:iCs w:val="0"/>
        </w:rPr>
      </w:pPr>
      <w:r>
        <w:rPr>
          <w:rFonts w:ascii="Arial" w:hAnsi="Arial" w:cs="Arial"/>
          <w:bCs w:val="0"/>
          <w:iCs w:val="0"/>
        </w:rPr>
        <w:t>In addition, a separate paper has been given to members detailing the changes in the accounts.</w:t>
      </w:r>
    </w:p>
    <w:p w:rsidR="006A5645" w:rsidRPr="00F47497" w:rsidRDefault="006A5645" w:rsidP="00D01880">
      <w:pPr>
        <w:pStyle w:val="BodyTextIndent2"/>
        <w:ind w:left="0"/>
        <w:jc w:val="left"/>
        <w:rPr>
          <w:rFonts w:ascii="Arial" w:hAnsi="Arial" w:cs="Arial"/>
        </w:rPr>
      </w:pPr>
    </w:p>
    <w:p w:rsidR="006A5645" w:rsidRPr="00F47497" w:rsidRDefault="006A5645" w:rsidP="00C46767">
      <w:pPr>
        <w:pStyle w:val="Heading4"/>
        <w:rPr>
          <w:rFonts w:ascii="Arial" w:hAnsi="Arial" w:cs="Arial"/>
        </w:rPr>
      </w:pPr>
      <w:r w:rsidRPr="00F47497">
        <w:rPr>
          <w:rFonts w:ascii="Arial" w:hAnsi="Arial" w:cs="Arial"/>
        </w:rPr>
        <w:t>Conclusion</w:t>
      </w:r>
    </w:p>
    <w:p w:rsidR="006A5645" w:rsidRPr="00F47497" w:rsidRDefault="006A5645" w:rsidP="00C46767">
      <w:pPr>
        <w:rPr>
          <w:rFonts w:ascii="Arial" w:hAnsi="Arial" w:cs="Arial"/>
          <w:b/>
          <w:bCs/>
        </w:rPr>
      </w:pPr>
    </w:p>
    <w:p w:rsidR="006A5645" w:rsidRPr="00552751" w:rsidRDefault="006A5645" w:rsidP="00552751">
      <w:pPr>
        <w:pStyle w:val="BodyTextIndent2"/>
        <w:jc w:val="left"/>
        <w:rPr>
          <w:rFonts w:ascii="Arial" w:hAnsi="Arial" w:cs="Arial"/>
          <w:bCs w:val="0"/>
          <w:iCs w:val="0"/>
        </w:rPr>
      </w:pPr>
      <w:r w:rsidRPr="00F47497">
        <w:rPr>
          <w:rFonts w:ascii="Arial" w:hAnsi="Arial" w:cs="Arial"/>
          <w:bCs w:val="0"/>
          <w:iCs w:val="0"/>
        </w:rPr>
        <w:t xml:space="preserve">Members are asked to approve the </w:t>
      </w:r>
      <w:r>
        <w:rPr>
          <w:rFonts w:ascii="Arial" w:hAnsi="Arial" w:cs="Arial"/>
          <w:bCs w:val="0"/>
          <w:iCs w:val="0"/>
        </w:rPr>
        <w:t>Annual</w:t>
      </w:r>
      <w:r w:rsidRPr="00F47497">
        <w:rPr>
          <w:rFonts w:ascii="Arial" w:hAnsi="Arial" w:cs="Arial"/>
          <w:bCs w:val="0"/>
          <w:iCs w:val="0"/>
        </w:rPr>
        <w:t xml:space="preserve"> Report and Accounts. </w:t>
      </w:r>
      <w:r>
        <w:rPr>
          <w:rFonts w:ascii="Arial" w:hAnsi="Arial" w:cs="Arial"/>
          <w:bCs w:val="0"/>
          <w:iCs w:val="0"/>
        </w:rPr>
        <w:br/>
      </w:r>
    </w:p>
    <w:p w:rsidR="006A5645" w:rsidRPr="00F47497" w:rsidRDefault="006A5645" w:rsidP="00C46767">
      <w:pPr>
        <w:pStyle w:val="Heading2"/>
        <w:rPr>
          <w:rFonts w:ascii="Arial" w:hAnsi="Arial" w:cs="Arial"/>
        </w:rPr>
      </w:pPr>
      <w:smartTag w:uri="urn:schemas-microsoft-com:office:smarttags" w:element="PersonName">
        <w:r w:rsidRPr="00F47497">
          <w:rPr>
            <w:rFonts w:ascii="Arial" w:hAnsi="Arial" w:cs="Arial"/>
          </w:rPr>
          <w:t>Julie Carter</w:t>
        </w:r>
      </w:smartTag>
    </w:p>
    <w:p w:rsidR="006A5645" w:rsidRPr="00F47497" w:rsidRDefault="006A5645" w:rsidP="00C46767">
      <w:pPr>
        <w:rPr>
          <w:rFonts w:ascii="Arial" w:hAnsi="Arial" w:cs="Arial"/>
          <w:b/>
          <w:bCs/>
        </w:rPr>
      </w:pPr>
      <w:r w:rsidRPr="00F47497">
        <w:rPr>
          <w:rFonts w:ascii="Arial" w:hAnsi="Arial" w:cs="Arial"/>
          <w:b/>
          <w:bCs/>
        </w:rPr>
        <w:t>Director of Finance</w:t>
      </w:r>
    </w:p>
    <w:p w:rsidR="006A5645" w:rsidRPr="00F47497" w:rsidRDefault="006A5645" w:rsidP="00C46767">
      <w:pPr>
        <w:rPr>
          <w:rFonts w:ascii="Arial" w:hAnsi="Arial" w:cs="Arial"/>
          <w:b/>
          <w:bCs/>
        </w:rPr>
      </w:pPr>
      <w:r>
        <w:rPr>
          <w:rFonts w:ascii="Arial" w:hAnsi="Arial" w:cs="Arial"/>
          <w:b/>
          <w:bCs/>
        </w:rPr>
        <w:t xml:space="preserve">29 May 2017 </w:t>
      </w:r>
    </w:p>
    <w:p w:rsidR="006A5645" w:rsidRPr="00F47497" w:rsidRDefault="006A5645" w:rsidP="00C46767">
      <w:pPr>
        <w:rPr>
          <w:rFonts w:ascii="Arial" w:hAnsi="Arial" w:cs="Arial"/>
          <w:b/>
          <w:bCs/>
          <w:i/>
          <w:iCs/>
        </w:rPr>
      </w:pPr>
    </w:p>
    <w:p w:rsidR="006A5645" w:rsidRPr="00004C66" w:rsidRDefault="006A5645" w:rsidP="00C46767">
      <w:pPr>
        <w:rPr>
          <w:rFonts w:ascii="Arial" w:hAnsi="Arial" w:cs="Arial"/>
          <w:b/>
        </w:rPr>
      </w:pPr>
      <w:r w:rsidRPr="00004C66">
        <w:rPr>
          <w:rFonts w:ascii="Arial" w:hAnsi="Arial" w:cs="Arial"/>
          <w:b/>
        </w:rPr>
        <w:t>(Lily Bryson, Assistant Director of Finance – Governance and Financial Accounting)</w:t>
      </w:r>
    </w:p>
    <w:sectPr w:rsidR="006A5645" w:rsidRPr="00004C66" w:rsidSect="00F47497">
      <w:footerReference w:type="even" r:id="rId8"/>
      <w:footerReference w:type="default" r:id="rId9"/>
      <w:pgSz w:w="11906" w:h="16838"/>
      <w:pgMar w:top="1258"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645" w:rsidRDefault="006A5645">
      <w:r>
        <w:separator/>
      </w:r>
    </w:p>
  </w:endnote>
  <w:endnote w:type="continuationSeparator" w:id="0">
    <w:p w:rsidR="006A5645" w:rsidRDefault="006A56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OOEnc">
    <w:altName w:val="Arial Unicode MS"/>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45" w:rsidRDefault="006A56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5645" w:rsidRDefault="006A56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45" w:rsidRDefault="006A56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A5645" w:rsidRDefault="006A5645" w:rsidP="00B03573">
    <w:pPr>
      <w:pStyle w:val="Footer"/>
      <w:jc w:val="center"/>
      <w:rPr>
        <w:rFonts w:cs="Arial"/>
        <w:b/>
      </w:rPr>
    </w:pPr>
    <w:r>
      <w:rPr>
        <w:rStyle w:val="PageNumber"/>
        <w:b/>
      </w:rPr>
      <w:fldChar w:fldCharType="begin"/>
    </w:r>
    <w:r>
      <w:rPr>
        <w:rStyle w:val="PageNumber"/>
        <w:b/>
      </w:rPr>
      <w:instrText xml:space="preserve"> PAGE </w:instrText>
    </w:r>
    <w:r>
      <w:rPr>
        <w:rStyle w:val="PageNumber"/>
        <w:b/>
      </w:rPr>
      <w:fldChar w:fldCharType="separate"/>
    </w:r>
    <w:r>
      <w:rPr>
        <w:rStyle w:val="PageNumber"/>
        <w:b/>
        <w:noProof/>
      </w:rPr>
      <w:t>3</w:t>
    </w:r>
    <w:r>
      <w:rPr>
        <w:rStyle w:val="PageNumber"/>
        <w:b/>
      </w:rPr>
      <w:fldChar w:fldCharType="end"/>
    </w:r>
  </w:p>
  <w:p w:rsidR="006A5645" w:rsidRDefault="006A5645" w:rsidP="00B03573">
    <w:pPr>
      <w:ind w:right="184" w:hanging="567"/>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nhsscotland" style="position:absolute;left:0;text-align:left;margin-left:428.55pt;margin-top:9.35pt;width:40.8pt;height:26.85pt;z-index:251660288;visibility:visible">
          <v:imagedata r:id="rId1" o:title=""/>
        </v:shape>
      </w:pict>
    </w:r>
  </w:p>
  <w:p w:rsidR="006A5645" w:rsidRPr="002713EF" w:rsidRDefault="006A5645" w:rsidP="00B03573">
    <w:pPr>
      <w:pStyle w:val="Title"/>
      <w:ind w:right="184" w:hanging="567"/>
      <w:jc w:val="left"/>
      <w:outlineLvl w:val="0"/>
      <w:rPr>
        <w:rFonts w:ascii="Arial" w:hAnsi="Arial" w:cs="Arial"/>
        <w:color w:val="auto"/>
        <w:sz w:val="18"/>
        <w:szCs w:val="18"/>
      </w:rPr>
    </w:pPr>
    <w:r w:rsidRPr="002713EF">
      <w:rPr>
        <w:rFonts w:ascii="Arial" w:hAnsi="Arial" w:cs="Arial"/>
        <w:color w:val="auto"/>
        <w:sz w:val="18"/>
        <w:szCs w:val="18"/>
      </w:rPr>
      <w:t>The Golden Jubilee Foundation is the new brand name for the NHS National Waiting Times Centre.</w:t>
    </w:r>
  </w:p>
  <w:p w:rsidR="006A5645" w:rsidRPr="002713EF" w:rsidRDefault="006A5645" w:rsidP="00B03573">
    <w:pPr>
      <w:pStyle w:val="Title"/>
      <w:ind w:right="184"/>
      <w:jc w:val="left"/>
      <w:outlineLvl w:val="0"/>
      <w:rPr>
        <w:rFonts w:ascii="Arial" w:hAnsi="Arial" w:cs="Arial"/>
        <w:color w:val="auto"/>
        <w:sz w:val="18"/>
        <w:szCs w:val="18"/>
      </w:rPr>
    </w:pPr>
    <w:r w:rsidRPr="002713EF">
      <w:rPr>
        <w:rFonts w:ascii="Arial" w:hAnsi="Arial" w:cs="Arial"/>
        <w:color w:val="auto"/>
        <w:sz w:val="18"/>
        <w:szCs w:val="18"/>
      </w:rPr>
      <w:t>Golden Jubilee National Hospital Charity Number: SC045146</w:t>
    </w:r>
  </w:p>
  <w:p w:rsidR="006A5645" w:rsidRDefault="006A56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645" w:rsidRDefault="006A5645">
      <w:r>
        <w:separator/>
      </w:r>
    </w:p>
  </w:footnote>
  <w:footnote w:type="continuationSeparator" w:id="0">
    <w:p w:rsidR="006A5645" w:rsidRDefault="006A56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63AD"/>
    <w:multiLevelType w:val="multilevel"/>
    <w:tmpl w:val="5530936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nsid w:val="152136CF"/>
    <w:multiLevelType w:val="hybridMultilevel"/>
    <w:tmpl w:val="013A5E7C"/>
    <w:lvl w:ilvl="0" w:tplc="08090005">
      <w:start w:val="1"/>
      <w:numFmt w:val="bullet"/>
      <w:lvlText w:val=""/>
      <w:lvlJc w:val="left"/>
      <w:pPr>
        <w:ind w:left="1440" w:hanging="360"/>
      </w:pPr>
      <w:rPr>
        <w:rFonts w:ascii="Wingdings" w:hAnsi="Wingdings" w:hint="default"/>
      </w:rPr>
    </w:lvl>
    <w:lvl w:ilvl="1" w:tplc="24680AA8">
      <w:numFmt w:val="bullet"/>
      <w:lvlText w:val=""/>
      <w:lvlJc w:val="left"/>
      <w:pPr>
        <w:ind w:left="2160" w:hanging="360"/>
      </w:pPr>
      <w:rPr>
        <w:rFonts w:ascii="Arial" w:eastAsia="SymbolOOEnc" w:hAnsi="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AC81E8D"/>
    <w:multiLevelType w:val="multilevel"/>
    <w:tmpl w:val="0C0EF648"/>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B856FA8"/>
    <w:multiLevelType w:val="hybridMultilevel"/>
    <w:tmpl w:val="C13225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9271B7"/>
    <w:multiLevelType w:val="hybridMultilevel"/>
    <w:tmpl w:val="97B6BA00"/>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AAE1555"/>
    <w:multiLevelType w:val="hybridMultilevel"/>
    <w:tmpl w:val="22B0FEE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BE3551D"/>
    <w:multiLevelType w:val="hybridMultilevel"/>
    <w:tmpl w:val="E9CE389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8D0BD5"/>
    <w:multiLevelType w:val="hybridMultilevel"/>
    <w:tmpl w:val="31E46A8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35302CB6"/>
    <w:multiLevelType w:val="hybridMultilevel"/>
    <w:tmpl w:val="11CE5F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995159"/>
    <w:multiLevelType w:val="hybridMultilevel"/>
    <w:tmpl w:val="F68E52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BCF3126"/>
    <w:multiLevelType w:val="hybridMultilevel"/>
    <w:tmpl w:val="5B9A9D0A"/>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2">
    <w:nsid w:val="3F7F2FA8"/>
    <w:multiLevelType w:val="hybridMultilevel"/>
    <w:tmpl w:val="7E04EB54"/>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2B30866"/>
    <w:multiLevelType w:val="hybridMultilevel"/>
    <w:tmpl w:val="CF86C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48CF79CA"/>
    <w:multiLevelType w:val="hybridMultilevel"/>
    <w:tmpl w:val="0C0EF648"/>
    <w:lvl w:ilvl="0" w:tplc="08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nsid w:val="49ED55BA"/>
    <w:multiLevelType w:val="hybridMultilevel"/>
    <w:tmpl w:val="18C0C41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FBF1E79"/>
    <w:multiLevelType w:val="hybridMultilevel"/>
    <w:tmpl w:val="A1C6DC0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0326500"/>
    <w:multiLevelType w:val="hybridMultilevel"/>
    <w:tmpl w:val="09C2CC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4840FD5"/>
    <w:multiLevelType w:val="hybridMultilevel"/>
    <w:tmpl w:val="1694A1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74F4342"/>
    <w:multiLevelType w:val="hybridMultilevel"/>
    <w:tmpl w:val="EF5647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A4E2F2D"/>
    <w:multiLevelType w:val="hybridMultilevel"/>
    <w:tmpl w:val="36560B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F50855"/>
    <w:multiLevelType w:val="hybridMultilevel"/>
    <w:tmpl w:val="9694528C"/>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659609BB"/>
    <w:multiLevelType w:val="hybridMultilevel"/>
    <w:tmpl w:val="ED18778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6A11663F"/>
    <w:multiLevelType w:val="hybridMultilevel"/>
    <w:tmpl w:val="ABF66D0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B4E5647"/>
    <w:multiLevelType w:val="hybridMultilevel"/>
    <w:tmpl w:val="768C40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D965F60"/>
    <w:multiLevelType w:val="hybridMultilevel"/>
    <w:tmpl w:val="1E169BE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6DAC24C0"/>
    <w:multiLevelType w:val="hybridMultilevel"/>
    <w:tmpl w:val="4AA62FF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6F0275BD"/>
    <w:multiLevelType w:val="hybridMultilevel"/>
    <w:tmpl w:val="5DD8C15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0540967"/>
    <w:multiLevelType w:val="hybridMultilevel"/>
    <w:tmpl w:val="F68E52E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76475C32"/>
    <w:multiLevelType w:val="hybridMultilevel"/>
    <w:tmpl w:val="80E41156"/>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29"/>
  </w:num>
  <w:num w:numId="2">
    <w:abstractNumId w:val="2"/>
  </w:num>
  <w:num w:numId="3">
    <w:abstractNumId w:val="2"/>
  </w:num>
  <w:num w:numId="4">
    <w:abstractNumId w:val="2"/>
  </w:num>
  <w:num w:numId="5">
    <w:abstractNumId w:val="2"/>
  </w:num>
  <w:num w:numId="6">
    <w:abstractNumId w:val="2"/>
  </w:num>
  <w:num w:numId="7">
    <w:abstractNumId w:val="27"/>
  </w:num>
  <w:num w:numId="8">
    <w:abstractNumId w:val="16"/>
  </w:num>
  <w:num w:numId="9">
    <w:abstractNumId w:val="8"/>
  </w:num>
  <w:num w:numId="10">
    <w:abstractNumId w:val="2"/>
  </w:num>
  <w:num w:numId="11">
    <w:abstractNumId w:val="0"/>
  </w:num>
  <w:num w:numId="12">
    <w:abstractNumId w:val="2"/>
  </w:num>
  <w:num w:numId="13">
    <w:abstractNumId w:val="15"/>
  </w:num>
  <w:num w:numId="14">
    <w:abstractNumId w:val="9"/>
  </w:num>
  <w:num w:numId="15">
    <w:abstractNumId w:val="17"/>
  </w:num>
  <w:num w:numId="16">
    <w:abstractNumId w:val="26"/>
  </w:num>
  <w:num w:numId="17">
    <w:abstractNumId w:val="4"/>
  </w:num>
  <w:num w:numId="18">
    <w:abstractNumId w:val="18"/>
  </w:num>
  <w:num w:numId="19">
    <w:abstractNumId w:val="20"/>
  </w:num>
  <w:num w:numId="20">
    <w:abstractNumId w:val="2"/>
  </w:num>
  <w:num w:numId="21">
    <w:abstractNumId w:val="2"/>
  </w:num>
  <w:num w:numId="22">
    <w:abstractNumId w:val="2"/>
  </w:num>
  <w:num w:numId="23">
    <w:abstractNumId w:val="2"/>
  </w:num>
  <w:num w:numId="24">
    <w:abstractNumId w:val="2"/>
  </w:num>
  <w:num w:numId="25">
    <w:abstractNumId w:val="22"/>
  </w:num>
  <w:num w:numId="26">
    <w:abstractNumId w:val="2"/>
  </w:num>
  <w:num w:numId="27">
    <w:abstractNumId w:val="10"/>
  </w:num>
  <w:num w:numId="28">
    <w:abstractNumId w:val="28"/>
  </w:num>
  <w:num w:numId="29">
    <w:abstractNumId w:val="23"/>
  </w:num>
  <w:num w:numId="30">
    <w:abstractNumId w:val="24"/>
  </w:num>
  <w:num w:numId="31">
    <w:abstractNumId w:val="6"/>
  </w:num>
  <w:num w:numId="32">
    <w:abstractNumId w:val="2"/>
  </w:num>
  <w:num w:numId="33">
    <w:abstractNumId w:val="30"/>
  </w:num>
  <w:num w:numId="34">
    <w:abstractNumId w:val="21"/>
  </w:num>
  <w:num w:numId="35">
    <w:abstractNumId w:val="25"/>
  </w:num>
  <w:num w:numId="36">
    <w:abstractNumId w:val="1"/>
  </w:num>
  <w:num w:numId="37">
    <w:abstractNumId w:val="13"/>
  </w:num>
  <w:num w:numId="38">
    <w:abstractNumId w:val="2"/>
  </w:num>
  <w:num w:numId="39">
    <w:abstractNumId w:val="5"/>
  </w:num>
  <w:num w:numId="40">
    <w:abstractNumId w:val="7"/>
  </w:num>
  <w:num w:numId="41">
    <w:abstractNumId w:val="19"/>
  </w:num>
  <w:num w:numId="42">
    <w:abstractNumId w:val="14"/>
  </w:num>
  <w:num w:numId="43">
    <w:abstractNumId w:val="3"/>
  </w:num>
  <w:num w:numId="44">
    <w:abstractNumId w:val="11"/>
  </w:num>
  <w:num w:numId="4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383B"/>
    <w:rsid w:val="00004C66"/>
    <w:rsid w:val="000118AA"/>
    <w:rsid w:val="00057737"/>
    <w:rsid w:val="00060328"/>
    <w:rsid w:val="000748AC"/>
    <w:rsid w:val="00081012"/>
    <w:rsid w:val="00092659"/>
    <w:rsid w:val="000B1044"/>
    <w:rsid w:val="000E5001"/>
    <w:rsid w:val="001014E3"/>
    <w:rsid w:val="001055BA"/>
    <w:rsid w:val="00120D52"/>
    <w:rsid w:val="00122F84"/>
    <w:rsid w:val="0013793E"/>
    <w:rsid w:val="00140E67"/>
    <w:rsid w:val="00157FBE"/>
    <w:rsid w:val="001918BC"/>
    <w:rsid w:val="001D1024"/>
    <w:rsid w:val="001D415F"/>
    <w:rsid w:val="001F446E"/>
    <w:rsid w:val="002113C4"/>
    <w:rsid w:val="00250008"/>
    <w:rsid w:val="0025641E"/>
    <w:rsid w:val="002713EF"/>
    <w:rsid w:val="00296772"/>
    <w:rsid w:val="00297004"/>
    <w:rsid w:val="002A4060"/>
    <w:rsid w:val="002A5622"/>
    <w:rsid w:val="002B1C8C"/>
    <w:rsid w:val="002B5406"/>
    <w:rsid w:val="002E0AF4"/>
    <w:rsid w:val="002E4359"/>
    <w:rsid w:val="002F7E91"/>
    <w:rsid w:val="0032691F"/>
    <w:rsid w:val="00335156"/>
    <w:rsid w:val="003421E9"/>
    <w:rsid w:val="00350AC9"/>
    <w:rsid w:val="00367212"/>
    <w:rsid w:val="00371C06"/>
    <w:rsid w:val="003A1D2A"/>
    <w:rsid w:val="003C2DF6"/>
    <w:rsid w:val="004007EE"/>
    <w:rsid w:val="004143DE"/>
    <w:rsid w:val="00463FD1"/>
    <w:rsid w:val="00482EFB"/>
    <w:rsid w:val="004B4EED"/>
    <w:rsid w:val="004E0628"/>
    <w:rsid w:val="0051641B"/>
    <w:rsid w:val="00521ABF"/>
    <w:rsid w:val="00523B51"/>
    <w:rsid w:val="0053292C"/>
    <w:rsid w:val="00552751"/>
    <w:rsid w:val="00555886"/>
    <w:rsid w:val="00580A52"/>
    <w:rsid w:val="00586FB8"/>
    <w:rsid w:val="00594F01"/>
    <w:rsid w:val="00596A35"/>
    <w:rsid w:val="005A6948"/>
    <w:rsid w:val="005D23E4"/>
    <w:rsid w:val="005E41BA"/>
    <w:rsid w:val="005F0368"/>
    <w:rsid w:val="00602C70"/>
    <w:rsid w:val="0061103B"/>
    <w:rsid w:val="00620CD6"/>
    <w:rsid w:val="00654DCD"/>
    <w:rsid w:val="00655C05"/>
    <w:rsid w:val="0068010A"/>
    <w:rsid w:val="00682309"/>
    <w:rsid w:val="00687211"/>
    <w:rsid w:val="006A3BE1"/>
    <w:rsid w:val="006A5645"/>
    <w:rsid w:val="006B6C23"/>
    <w:rsid w:val="006C30C8"/>
    <w:rsid w:val="006F5561"/>
    <w:rsid w:val="00701381"/>
    <w:rsid w:val="00734583"/>
    <w:rsid w:val="00753E05"/>
    <w:rsid w:val="0078691C"/>
    <w:rsid w:val="007C001C"/>
    <w:rsid w:val="007D4B71"/>
    <w:rsid w:val="007D75D5"/>
    <w:rsid w:val="007E493B"/>
    <w:rsid w:val="007E5309"/>
    <w:rsid w:val="008018BE"/>
    <w:rsid w:val="008138B0"/>
    <w:rsid w:val="00820B62"/>
    <w:rsid w:val="00833C93"/>
    <w:rsid w:val="0084249E"/>
    <w:rsid w:val="00847EF6"/>
    <w:rsid w:val="008763DF"/>
    <w:rsid w:val="00876FC7"/>
    <w:rsid w:val="008B7ACB"/>
    <w:rsid w:val="008C0D26"/>
    <w:rsid w:val="008D40BD"/>
    <w:rsid w:val="008D7680"/>
    <w:rsid w:val="008E7824"/>
    <w:rsid w:val="008F7072"/>
    <w:rsid w:val="009005DB"/>
    <w:rsid w:val="00902A4A"/>
    <w:rsid w:val="009034E5"/>
    <w:rsid w:val="00906352"/>
    <w:rsid w:val="009147FE"/>
    <w:rsid w:val="00922BFC"/>
    <w:rsid w:val="00924067"/>
    <w:rsid w:val="0092519B"/>
    <w:rsid w:val="00927E10"/>
    <w:rsid w:val="00940B37"/>
    <w:rsid w:val="00945B60"/>
    <w:rsid w:val="00956CF4"/>
    <w:rsid w:val="00970E4D"/>
    <w:rsid w:val="00973D58"/>
    <w:rsid w:val="009A388C"/>
    <w:rsid w:val="009A40AB"/>
    <w:rsid w:val="009A5ED2"/>
    <w:rsid w:val="009D4E53"/>
    <w:rsid w:val="00A52344"/>
    <w:rsid w:val="00A94EE1"/>
    <w:rsid w:val="00A960C9"/>
    <w:rsid w:val="00AB1A26"/>
    <w:rsid w:val="00AB29F6"/>
    <w:rsid w:val="00AB4696"/>
    <w:rsid w:val="00AC1FB6"/>
    <w:rsid w:val="00AD2E77"/>
    <w:rsid w:val="00AD6714"/>
    <w:rsid w:val="00AE10F7"/>
    <w:rsid w:val="00AF0A63"/>
    <w:rsid w:val="00B02A0D"/>
    <w:rsid w:val="00B03573"/>
    <w:rsid w:val="00B1383B"/>
    <w:rsid w:val="00B1384D"/>
    <w:rsid w:val="00B14DB1"/>
    <w:rsid w:val="00B21414"/>
    <w:rsid w:val="00B22270"/>
    <w:rsid w:val="00B27A91"/>
    <w:rsid w:val="00B47462"/>
    <w:rsid w:val="00B51961"/>
    <w:rsid w:val="00B579FD"/>
    <w:rsid w:val="00B6138C"/>
    <w:rsid w:val="00B63D95"/>
    <w:rsid w:val="00BA0AE3"/>
    <w:rsid w:val="00BA31B6"/>
    <w:rsid w:val="00BA5071"/>
    <w:rsid w:val="00BB69A6"/>
    <w:rsid w:val="00BB7768"/>
    <w:rsid w:val="00BC2F47"/>
    <w:rsid w:val="00BD6816"/>
    <w:rsid w:val="00BD7B43"/>
    <w:rsid w:val="00C156B7"/>
    <w:rsid w:val="00C46767"/>
    <w:rsid w:val="00C53876"/>
    <w:rsid w:val="00C7009B"/>
    <w:rsid w:val="00CB5502"/>
    <w:rsid w:val="00CD66A5"/>
    <w:rsid w:val="00CE003E"/>
    <w:rsid w:val="00CE6125"/>
    <w:rsid w:val="00D01880"/>
    <w:rsid w:val="00D10F26"/>
    <w:rsid w:val="00D72EB3"/>
    <w:rsid w:val="00D80EC8"/>
    <w:rsid w:val="00D861FC"/>
    <w:rsid w:val="00D94976"/>
    <w:rsid w:val="00DD32F9"/>
    <w:rsid w:val="00DE4A8A"/>
    <w:rsid w:val="00E22A20"/>
    <w:rsid w:val="00E23D41"/>
    <w:rsid w:val="00E23DCE"/>
    <w:rsid w:val="00E31B49"/>
    <w:rsid w:val="00E33B5E"/>
    <w:rsid w:val="00E357D0"/>
    <w:rsid w:val="00E52D79"/>
    <w:rsid w:val="00E742FE"/>
    <w:rsid w:val="00EC2751"/>
    <w:rsid w:val="00EC6557"/>
    <w:rsid w:val="00ED44E7"/>
    <w:rsid w:val="00EE4317"/>
    <w:rsid w:val="00EE4626"/>
    <w:rsid w:val="00EF5841"/>
    <w:rsid w:val="00F04B26"/>
    <w:rsid w:val="00F32BC4"/>
    <w:rsid w:val="00F37428"/>
    <w:rsid w:val="00F47497"/>
    <w:rsid w:val="00F51290"/>
    <w:rsid w:val="00F64C7A"/>
    <w:rsid w:val="00F67BAC"/>
    <w:rsid w:val="00F718E6"/>
    <w:rsid w:val="00FA2139"/>
    <w:rsid w:val="00FC26D9"/>
    <w:rsid w:val="00FC3233"/>
    <w:rsid w:val="00FD73B4"/>
    <w:rsid w:val="00FE24C4"/>
    <w:rsid w:val="00FF1BDF"/>
    <w:rsid w:val="00FF50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626"/>
    <w:rPr>
      <w:sz w:val="24"/>
      <w:szCs w:val="24"/>
      <w:lang w:val="en-GB"/>
    </w:rPr>
  </w:style>
  <w:style w:type="paragraph" w:styleId="Heading1">
    <w:name w:val="heading 1"/>
    <w:basedOn w:val="Normal"/>
    <w:next w:val="Normal"/>
    <w:link w:val="Heading1Char"/>
    <w:uiPriority w:val="99"/>
    <w:qFormat/>
    <w:rsid w:val="00EE4626"/>
    <w:pPr>
      <w:keepNext/>
      <w:outlineLvl w:val="0"/>
    </w:pPr>
    <w:rPr>
      <w:b/>
      <w:bCs/>
      <w:sz w:val="32"/>
    </w:rPr>
  </w:style>
  <w:style w:type="paragraph" w:styleId="Heading2">
    <w:name w:val="heading 2"/>
    <w:basedOn w:val="Normal"/>
    <w:next w:val="Normal"/>
    <w:link w:val="Heading2Char"/>
    <w:uiPriority w:val="99"/>
    <w:qFormat/>
    <w:rsid w:val="00EE4626"/>
    <w:pPr>
      <w:keepNext/>
      <w:outlineLvl w:val="1"/>
    </w:pPr>
    <w:rPr>
      <w:b/>
      <w:bCs/>
    </w:rPr>
  </w:style>
  <w:style w:type="paragraph" w:styleId="Heading3">
    <w:name w:val="heading 3"/>
    <w:basedOn w:val="Normal"/>
    <w:next w:val="Normal"/>
    <w:link w:val="Heading3Char"/>
    <w:uiPriority w:val="99"/>
    <w:qFormat/>
    <w:rsid w:val="00EE4626"/>
    <w:pPr>
      <w:keepNext/>
      <w:numPr>
        <w:numId w:val="1"/>
      </w:numPr>
      <w:tabs>
        <w:tab w:val="num" w:pos="720"/>
      </w:tabs>
      <w:ind w:hanging="1080"/>
      <w:outlineLvl w:val="2"/>
    </w:pPr>
    <w:rPr>
      <w:b/>
      <w:bCs/>
    </w:rPr>
  </w:style>
  <w:style w:type="paragraph" w:styleId="Heading4">
    <w:name w:val="heading 4"/>
    <w:basedOn w:val="Normal"/>
    <w:next w:val="Normal"/>
    <w:link w:val="Heading4Char"/>
    <w:uiPriority w:val="99"/>
    <w:qFormat/>
    <w:rsid w:val="00EE4626"/>
    <w:pPr>
      <w:keepNext/>
      <w:numPr>
        <w:numId w:val="2"/>
      </w:numPr>
      <w:outlineLvl w:val="3"/>
    </w:pPr>
    <w:rPr>
      <w:b/>
      <w:bCs/>
    </w:rPr>
  </w:style>
  <w:style w:type="paragraph" w:styleId="Heading5">
    <w:name w:val="heading 5"/>
    <w:basedOn w:val="Normal"/>
    <w:next w:val="Normal"/>
    <w:link w:val="Heading5Char"/>
    <w:uiPriority w:val="99"/>
    <w:qFormat/>
    <w:rsid w:val="00EE4626"/>
    <w:pPr>
      <w:keepNext/>
      <w:ind w:left="720"/>
      <w:jc w:val="both"/>
      <w:outlineLvl w:val="4"/>
    </w:pPr>
    <w:rPr>
      <w:b/>
      <w:iCs/>
    </w:rPr>
  </w:style>
  <w:style w:type="paragraph" w:styleId="Heading6">
    <w:name w:val="heading 6"/>
    <w:basedOn w:val="Normal"/>
    <w:next w:val="Normal"/>
    <w:link w:val="Heading6Char"/>
    <w:uiPriority w:val="99"/>
    <w:qFormat/>
    <w:rsid w:val="00EE4626"/>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EE4626"/>
    <w:pPr>
      <w:keepNext/>
      <w:outlineLvl w:val="6"/>
    </w:pPr>
    <w:rPr>
      <w:b/>
      <w:bCs/>
      <w:sz w:val="1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38B0"/>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138B0"/>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8138B0"/>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8138B0"/>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8138B0"/>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8138B0"/>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8138B0"/>
    <w:rPr>
      <w:rFonts w:ascii="Calibri" w:hAnsi="Calibri" w:cs="Times New Roman"/>
      <w:sz w:val="24"/>
      <w:szCs w:val="24"/>
      <w:lang w:eastAsia="en-US"/>
    </w:rPr>
  </w:style>
  <w:style w:type="paragraph" w:styleId="Footer">
    <w:name w:val="footer"/>
    <w:basedOn w:val="Normal"/>
    <w:link w:val="FooterChar"/>
    <w:uiPriority w:val="99"/>
    <w:rsid w:val="00EE4626"/>
    <w:pPr>
      <w:tabs>
        <w:tab w:val="center" w:pos="4153"/>
        <w:tab w:val="right" w:pos="8306"/>
      </w:tabs>
    </w:pPr>
  </w:style>
  <w:style w:type="character" w:customStyle="1" w:styleId="FooterChar">
    <w:name w:val="Footer Char"/>
    <w:basedOn w:val="DefaultParagraphFont"/>
    <w:link w:val="Footer"/>
    <w:uiPriority w:val="99"/>
    <w:locked/>
    <w:rsid w:val="008138B0"/>
    <w:rPr>
      <w:rFonts w:cs="Times New Roman"/>
      <w:sz w:val="24"/>
      <w:szCs w:val="24"/>
      <w:lang w:eastAsia="en-US"/>
    </w:rPr>
  </w:style>
  <w:style w:type="character" w:styleId="PageNumber">
    <w:name w:val="page number"/>
    <w:basedOn w:val="DefaultParagraphFont"/>
    <w:uiPriority w:val="99"/>
    <w:rsid w:val="00EE4626"/>
    <w:rPr>
      <w:rFonts w:cs="Times New Roman"/>
    </w:rPr>
  </w:style>
  <w:style w:type="paragraph" w:styleId="BodyTextIndent">
    <w:name w:val="Body Text Indent"/>
    <w:basedOn w:val="Normal"/>
    <w:link w:val="BodyTextIndentChar"/>
    <w:uiPriority w:val="99"/>
    <w:rsid w:val="00EE4626"/>
    <w:pPr>
      <w:ind w:left="360"/>
    </w:pPr>
    <w:rPr>
      <w:iCs/>
    </w:rPr>
  </w:style>
  <w:style w:type="character" w:customStyle="1" w:styleId="BodyTextIndentChar">
    <w:name w:val="Body Text Indent Char"/>
    <w:basedOn w:val="DefaultParagraphFont"/>
    <w:link w:val="BodyTextIndent"/>
    <w:uiPriority w:val="99"/>
    <w:semiHidden/>
    <w:locked/>
    <w:rsid w:val="008138B0"/>
    <w:rPr>
      <w:rFonts w:cs="Times New Roman"/>
      <w:sz w:val="24"/>
      <w:szCs w:val="24"/>
      <w:lang w:eastAsia="en-US"/>
    </w:rPr>
  </w:style>
  <w:style w:type="paragraph" w:styleId="BodyTextIndent2">
    <w:name w:val="Body Text Indent 2"/>
    <w:basedOn w:val="Normal"/>
    <w:link w:val="BodyTextIndent2Char"/>
    <w:uiPriority w:val="99"/>
    <w:rsid w:val="00EE4626"/>
    <w:pPr>
      <w:ind w:left="720"/>
      <w:jc w:val="both"/>
    </w:pPr>
    <w:rPr>
      <w:bCs/>
      <w:iCs/>
    </w:rPr>
  </w:style>
  <w:style w:type="character" w:customStyle="1" w:styleId="BodyTextIndent2Char">
    <w:name w:val="Body Text Indent 2 Char"/>
    <w:basedOn w:val="DefaultParagraphFont"/>
    <w:link w:val="BodyTextIndent2"/>
    <w:uiPriority w:val="99"/>
    <w:semiHidden/>
    <w:locked/>
    <w:rsid w:val="008138B0"/>
    <w:rPr>
      <w:rFonts w:cs="Times New Roman"/>
      <w:sz w:val="24"/>
      <w:szCs w:val="24"/>
      <w:lang w:eastAsia="en-US"/>
    </w:rPr>
  </w:style>
  <w:style w:type="paragraph" w:styleId="BodyTextIndent3">
    <w:name w:val="Body Text Indent 3"/>
    <w:basedOn w:val="Normal"/>
    <w:link w:val="BodyTextIndent3Char"/>
    <w:uiPriority w:val="99"/>
    <w:rsid w:val="00EE4626"/>
    <w:pPr>
      <w:ind w:left="360"/>
      <w:jc w:val="both"/>
    </w:pPr>
    <w:rPr>
      <w:iCs/>
    </w:rPr>
  </w:style>
  <w:style w:type="character" w:customStyle="1" w:styleId="BodyTextIndent3Char">
    <w:name w:val="Body Text Indent 3 Char"/>
    <w:basedOn w:val="DefaultParagraphFont"/>
    <w:link w:val="BodyTextIndent3"/>
    <w:uiPriority w:val="99"/>
    <w:semiHidden/>
    <w:locked/>
    <w:rsid w:val="008138B0"/>
    <w:rPr>
      <w:rFonts w:cs="Times New Roman"/>
      <w:sz w:val="16"/>
      <w:szCs w:val="16"/>
      <w:lang w:eastAsia="en-US"/>
    </w:rPr>
  </w:style>
  <w:style w:type="paragraph" w:customStyle="1" w:styleId="Hangingindent1">
    <w:name w:val="Hanging indent 1"/>
    <w:basedOn w:val="Normal"/>
    <w:uiPriority w:val="99"/>
    <w:rsid w:val="00EE46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jc w:val="both"/>
    </w:pPr>
    <w:rPr>
      <w:rFonts w:ascii="Courier" w:hAnsi="Courier"/>
      <w:sz w:val="22"/>
      <w:szCs w:val="20"/>
      <w:lang w:val="en-US"/>
    </w:rPr>
  </w:style>
  <w:style w:type="paragraph" w:customStyle="1" w:styleId="2-col-note">
    <w:name w:val="2-col-note"/>
    <w:basedOn w:val="Normal"/>
    <w:uiPriority w:val="99"/>
    <w:rsid w:val="00AB1A26"/>
    <w:pPr>
      <w:widowControl w:val="0"/>
      <w:tabs>
        <w:tab w:val="right" w:pos="6120"/>
        <w:tab w:val="decimal" w:pos="7200"/>
        <w:tab w:val="decimal" w:pos="9000"/>
        <w:tab w:val="decimal" w:pos="11952"/>
      </w:tabs>
      <w:spacing w:line="240" w:lineRule="atLeast"/>
      <w:jc w:val="both"/>
    </w:pPr>
    <w:rPr>
      <w:sz w:val="22"/>
      <w:szCs w:val="20"/>
    </w:rPr>
  </w:style>
  <w:style w:type="paragraph" w:styleId="BalloonText">
    <w:name w:val="Balloon Text"/>
    <w:basedOn w:val="Normal"/>
    <w:link w:val="BalloonTextChar"/>
    <w:uiPriority w:val="99"/>
    <w:rsid w:val="00AB29F6"/>
    <w:rPr>
      <w:rFonts w:ascii="Tahoma" w:hAnsi="Tahoma" w:cs="Tahoma"/>
      <w:sz w:val="16"/>
      <w:szCs w:val="16"/>
    </w:rPr>
  </w:style>
  <w:style w:type="character" w:customStyle="1" w:styleId="BalloonTextChar">
    <w:name w:val="Balloon Text Char"/>
    <w:basedOn w:val="DefaultParagraphFont"/>
    <w:link w:val="BalloonText"/>
    <w:uiPriority w:val="99"/>
    <w:locked/>
    <w:rsid w:val="00AB29F6"/>
    <w:rPr>
      <w:rFonts w:ascii="Tahoma" w:hAnsi="Tahoma" w:cs="Tahoma"/>
      <w:sz w:val="16"/>
      <w:szCs w:val="16"/>
      <w:lang w:eastAsia="en-US"/>
    </w:rPr>
  </w:style>
  <w:style w:type="paragraph" w:styleId="ListParagraph">
    <w:name w:val="List Paragraph"/>
    <w:basedOn w:val="Normal"/>
    <w:uiPriority w:val="99"/>
    <w:qFormat/>
    <w:rsid w:val="000B1044"/>
    <w:pPr>
      <w:ind w:left="720"/>
      <w:contextualSpacing/>
    </w:pPr>
  </w:style>
  <w:style w:type="paragraph" w:styleId="Header">
    <w:name w:val="header"/>
    <w:basedOn w:val="Normal"/>
    <w:link w:val="HeaderChar"/>
    <w:uiPriority w:val="99"/>
    <w:rsid w:val="00B03573"/>
    <w:pPr>
      <w:tabs>
        <w:tab w:val="center" w:pos="4513"/>
        <w:tab w:val="right" w:pos="9026"/>
      </w:tabs>
    </w:pPr>
  </w:style>
  <w:style w:type="character" w:customStyle="1" w:styleId="HeaderChar">
    <w:name w:val="Header Char"/>
    <w:basedOn w:val="DefaultParagraphFont"/>
    <w:link w:val="Header"/>
    <w:uiPriority w:val="99"/>
    <w:locked/>
    <w:rsid w:val="00B03573"/>
    <w:rPr>
      <w:rFonts w:cs="Times New Roman"/>
      <w:sz w:val="24"/>
      <w:szCs w:val="24"/>
      <w:lang w:eastAsia="en-US"/>
    </w:rPr>
  </w:style>
  <w:style w:type="paragraph" w:styleId="Title">
    <w:name w:val="Title"/>
    <w:basedOn w:val="Normal"/>
    <w:link w:val="TitleChar"/>
    <w:uiPriority w:val="99"/>
    <w:qFormat/>
    <w:locked/>
    <w:rsid w:val="00B03573"/>
    <w:pPr>
      <w:jc w:val="center"/>
    </w:pPr>
    <w:rPr>
      <w:rFonts w:ascii="Copperplate Gothic Bold" w:hAnsi="Copperplate Gothic Bold"/>
      <w:color w:val="800080"/>
      <w:sz w:val="48"/>
      <w:szCs w:val="20"/>
      <w:lang w:eastAsia="en-GB"/>
    </w:rPr>
  </w:style>
  <w:style w:type="character" w:customStyle="1" w:styleId="TitleChar">
    <w:name w:val="Title Char"/>
    <w:basedOn w:val="DefaultParagraphFont"/>
    <w:link w:val="Title"/>
    <w:uiPriority w:val="99"/>
    <w:locked/>
    <w:rsid w:val="00B03573"/>
    <w:rPr>
      <w:rFonts w:ascii="Copperplate Gothic Bold" w:hAnsi="Copperplate Gothic Bold" w:cs="Times New Roman"/>
      <w:color w:val="800080"/>
      <w:sz w:val="48"/>
    </w:rPr>
  </w:style>
  <w:style w:type="character" w:styleId="CommentReference">
    <w:name w:val="annotation reference"/>
    <w:basedOn w:val="DefaultParagraphFont"/>
    <w:uiPriority w:val="99"/>
    <w:rsid w:val="0053292C"/>
    <w:rPr>
      <w:rFonts w:cs="Times New Roman"/>
      <w:sz w:val="16"/>
      <w:szCs w:val="16"/>
    </w:rPr>
  </w:style>
  <w:style w:type="paragraph" w:styleId="CommentText">
    <w:name w:val="annotation text"/>
    <w:basedOn w:val="Normal"/>
    <w:link w:val="CommentTextChar"/>
    <w:uiPriority w:val="99"/>
    <w:rsid w:val="0053292C"/>
    <w:rPr>
      <w:sz w:val="20"/>
      <w:szCs w:val="20"/>
    </w:rPr>
  </w:style>
  <w:style w:type="character" w:customStyle="1" w:styleId="CommentTextChar">
    <w:name w:val="Comment Text Char"/>
    <w:basedOn w:val="DefaultParagraphFont"/>
    <w:link w:val="CommentText"/>
    <w:uiPriority w:val="99"/>
    <w:locked/>
    <w:rsid w:val="0053292C"/>
    <w:rPr>
      <w:rFonts w:cs="Times New Roman"/>
      <w:lang w:eastAsia="en-US"/>
    </w:rPr>
  </w:style>
  <w:style w:type="paragraph" w:styleId="CommentSubject">
    <w:name w:val="annotation subject"/>
    <w:basedOn w:val="CommentText"/>
    <w:next w:val="CommentText"/>
    <w:link w:val="CommentSubjectChar"/>
    <w:uiPriority w:val="99"/>
    <w:rsid w:val="0053292C"/>
    <w:rPr>
      <w:b/>
      <w:bCs/>
    </w:rPr>
  </w:style>
  <w:style w:type="character" w:customStyle="1" w:styleId="CommentSubjectChar">
    <w:name w:val="Comment Subject Char"/>
    <w:basedOn w:val="CommentTextChar"/>
    <w:link w:val="CommentSubject"/>
    <w:uiPriority w:val="99"/>
    <w:locked/>
    <w:rsid w:val="0053292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3</Pages>
  <Words>697</Words>
  <Characters>3975</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subject/>
  <dc:creator>National Waiting Times Centre</dc:creator>
  <cp:keywords/>
  <dc:description/>
  <cp:lastModifiedBy>McGuinnessC1</cp:lastModifiedBy>
  <cp:revision>4</cp:revision>
  <cp:lastPrinted>2017-05-29T13:22:00Z</cp:lastPrinted>
  <dcterms:created xsi:type="dcterms:W3CDTF">2017-06-07T16:57:00Z</dcterms:created>
  <dcterms:modified xsi:type="dcterms:W3CDTF">2017-06-09T09:37:00Z</dcterms:modified>
</cp:coreProperties>
</file>